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40" w:rsidRDefault="00832576"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Bolsas de investigação (estudantes inscritos num mestrado integrado, mestrado, doutoramento ou em curso não conferente de grau académico, Artigo 6º, Regulamento n.º 950/2019 da FCT).</w:t>
      </w:r>
    </w:p>
    <w:p w:rsidR="00082540" w:rsidRDefault="00832576">
      <w:pPr>
        <w:pStyle w:val="Subttulo"/>
        <w:spacing w:line="360" w:lineRule="auto"/>
        <w:rPr>
          <w:rFonts w:ascii="Arial" w:eastAsia="Arial" w:hAnsi="Arial" w:cs="Arial"/>
          <w:b w:val="0"/>
          <w:i/>
          <w:color w:val="0070C0"/>
          <w:sz w:val="20"/>
          <w:szCs w:val="20"/>
        </w:rPr>
      </w:pPr>
      <w:r>
        <w:rPr>
          <w:rFonts w:ascii="Arial" w:eastAsia="Arial" w:hAnsi="Arial" w:cs="Arial"/>
          <w:sz w:val="24"/>
          <w:szCs w:val="28"/>
        </w:rPr>
        <w:t>(1 vaga)</w:t>
      </w:r>
    </w:p>
    <w:p w:rsidR="00082540" w:rsidRDefault="00082540"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 w:rsidR="00082540" w:rsidRDefault="00082540"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 w:rsidR="00082540" w:rsidRDefault="00832576">
      <w:pPr>
        <w:pStyle w:val="Subttulo"/>
        <w:spacing w:line="360" w:lineRule="auto"/>
        <w:jc w:val="left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REFERÊNCIA: BI/UTAD/82/2022</w:t>
      </w:r>
    </w:p>
    <w:p w:rsidR="00082540" w:rsidRDefault="00082540">
      <w:pPr>
        <w:pStyle w:val="Subttulo"/>
        <w:spacing w:line="360" w:lineRule="auto"/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Encontra-se aberto concurso para a atribuição de 1 Bolsas de investigação (estudantes inscritos num mestrado integrado, mestrado, doutoramento ou em curso não conferente de grau académico, Artigo 6º, Regulamento n.º 950/2019 da FCT). no âmbito do projeto/i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nstituição de I&amp;D </w:t>
      </w:r>
      <w:proofErr w:type="spellStart"/>
      <w:r>
        <w:rPr>
          <w:rFonts w:ascii="Arial" w:eastAsia="Arial" w:hAnsi="Arial" w:cs="Arial"/>
          <w:sz w:val="20"/>
          <w:szCs w:val="20"/>
          <w:lang w:val="pt-PT"/>
        </w:rPr>
        <w:t>OneHcancer</w:t>
      </w:r>
      <w:proofErr w:type="spellEnd"/>
      <w:r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pt-PT"/>
        </w:rPr>
        <w:t>ref</w:t>
      </w:r>
      <w:proofErr w:type="spellEnd"/>
      <w:r>
        <w:rPr>
          <w:rFonts w:ascii="Arial" w:eastAsia="Arial" w:hAnsi="Arial" w:cs="Arial"/>
          <w:sz w:val="20"/>
          <w:szCs w:val="20"/>
          <w:lang w:val="pt-PT"/>
        </w:rPr>
        <w:t xml:space="preserve">. NORTE-01-0145-FEDER-000078, BI/UTAD/82/2022, financiado por </w:t>
      </w:r>
      <w:proofErr w:type="spellStart"/>
      <w:r>
        <w:rPr>
          <w:rFonts w:ascii="Arial" w:eastAsia="Arial" w:hAnsi="Arial" w:cs="Arial"/>
          <w:sz w:val="20"/>
          <w:szCs w:val="20"/>
          <w:lang w:val="pt-PT"/>
        </w:rPr>
        <w:t>Co-financiado</w:t>
      </w:r>
      <w:proofErr w:type="spellEnd"/>
      <w:r>
        <w:rPr>
          <w:rFonts w:ascii="Arial" w:eastAsia="Arial" w:hAnsi="Arial" w:cs="Arial"/>
          <w:sz w:val="20"/>
          <w:szCs w:val="20"/>
          <w:lang w:val="pt-PT"/>
        </w:rPr>
        <w:t xml:space="preserve"> pelo Fundo Europeu de Desenvolvimento Regional (FEDER) através do Programa Operacional Regional do Norte (NORTE-01-0145-FEDER-000078), nas seguinte</w:t>
      </w:r>
      <w:r>
        <w:rPr>
          <w:rFonts w:ascii="Arial" w:eastAsia="Arial" w:hAnsi="Arial" w:cs="Arial"/>
          <w:sz w:val="20"/>
          <w:szCs w:val="20"/>
          <w:lang w:val="pt-PT"/>
        </w:rPr>
        <w:t>s condições: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Área Científica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Ciência Animal e Ciências Veterinárias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bookmarkStart w:id="0" w:name="_GoBack"/>
      <w:bookmarkEnd w:id="0"/>
    </w:p>
    <w:p w:rsidR="00082540" w:rsidRDefault="0083257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Requisitos de admissão: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1.º - Mestre em Medicina Veterinária (Mestrado Integrado), na área das Ciências Biológicas, da Saúde ou em áreas </w:t>
      </w:r>
      <w:proofErr w:type="gramStart"/>
      <w:r>
        <w:rPr>
          <w:rFonts w:ascii="Arial" w:eastAsia="Arial" w:hAnsi="Arial" w:cs="Arial"/>
          <w:sz w:val="20"/>
          <w:szCs w:val="20"/>
          <w:lang w:val="pt-PT"/>
        </w:rPr>
        <w:t>afins.</w:t>
      </w:r>
      <w:r>
        <w:rPr>
          <w:rFonts w:ascii="Arial" w:eastAsia="Arial" w:hAnsi="Arial" w:cs="Arial"/>
          <w:sz w:val="20"/>
          <w:szCs w:val="20"/>
          <w:lang w:val="pt-PT"/>
        </w:rPr>
        <w:t>*</w:t>
      </w:r>
      <w:proofErr w:type="gramEnd"/>
      <w:r>
        <w:rPr>
          <w:rFonts w:ascii="Arial" w:eastAsia="Arial" w:hAnsi="Arial" w:cs="Arial"/>
          <w:sz w:val="20"/>
          <w:szCs w:val="20"/>
          <w:lang w:val="pt-PT"/>
        </w:rPr>
        <w:t>;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2.º - Candidatos inscritos ou que cumpram os requisitos para virem a escrever num curso (3º ciclo), em conformidade com o regulamento das bolsas de Investigação da FCT, RBI nº 950/</w:t>
      </w:r>
      <w:proofErr w:type="gramStart"/>
      <w:r>
        <w:rPr>
          <w:rFonts w:ascii="Arial" w:eastAsia="Arial" w:hAnsi="Arial" w:cs="Arial"/>
          <w:sz w:val="20"/>
          <w:szCs w:val="20"/>
          <w:lang w:val="pt-PT"/>
        </w:rPr>
        <w:t>2019.</w:t>
      </w:r>
      <w:r>
        <w:rPr>
          <w:rFonts w:ascii="Arial" w:eastAsia="Arial" w:hAnsi="Arial" w:cs="Arial"/>
          <w:sz w:val="20"/>
          <w:szCs w:val="20"/>
          <w:lang w:val="pt-PT"/>
        </w:rPr>
        <w:t>*</w:t>
      </w:r>
      <w:proofErr w:type="gramEnd"/>
      <w:r>
        <w:rPr>
          <w:rFonts w:ascii="Arial" w:eastAsia="Arial" w:hAnsi="Arial" w:cs="Arial"/>
          <w:sz w:val="20"/>
          <w:szCs w:val="20"/>
          <w:lang w:val="pt-PT"/>
        </w:rPr>
        <w:t>;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16"/>
          <w:szCs w:val="20"/>
          <w:lang w:val="pt-PT"/>
        </w:rPr>
      </w:pPr>
      <w:r>
        <w:rPr>
          <w:rFonts w:ascii="Arial" w:eastAsia="Arial" w:hAnsi="Arial" w:cs="Arial"/>
          <w:sz w:val="16"/>
          <w:szCs w:val="20"/>
          <w:lang w:val="pt-PT"/>
        </w:rPr>
        <w:t>* fator eliminatório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Plano de trabalhos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Desenho de amostragem e </w:t>
      </w:r>
      <w:r>
        <w:rPr>
          <w:rFonts w:ascii="Arial" w:eastAsia="Arial" w:hAnsi="Arial" w:cs="Arial"/>
          <w:sz w:val="20"/>
          <w:szCs w:val="20"/>
          <w:lang w:val="pt-PT"/>
        </w:rPr>
        <w:t>questionário para levantamento epidemiológico na produção primária.;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Estudo do cancro de ruminantes e suínos no norte de Portugal em explorações e matadouros.;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Deslocações a explorações para realização de inquéritos. avaliação de bem-estar animal.;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Recolha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amostras em matadouro.;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Legislação e regulamentação aplicável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Lei Nº. 40/2004, de 18 de Agosto (Estatuto do Bolseiro de Investigação Científica); Regulamento de Bolsas de Investigação da FCT, I. P., aprovado pelo Regulamento nº 234/2012, publicado n</w:t>
      </w:r>
      <w:r>
        <w:rPr>
          <w:rFonts w:ascii="Arial" w:eastAsia="Arial" w:hAnsi="Arial" w:cs="Arial"/>
          <w:sz w:val="20"/>
          <w:szCs w:val="20"/>
          <w:lang w:val="pt-PT"/>
        </w:rPr>
        <w:t>a II Série do Diário da República de 25 de junho de 2012, alterado e republicado pelo Regulamento nº 326/2013, publicado na II Série do Diário da República de 27 de julho de 2013, alterado pelo Regulamento nº 339/2015, publicado na II Série do Diário da Re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pública de 17 de junho de 2015 e Lei n.º71/2018 (Lei do Orçamento do Estado para </w:t>
      </w:r>
      <w:r>
        <w:rPr>
          <w:rFonts w:ascii="Arial" w:eastAsia="Arial" w:hAnsi="Arial" w:cs="Arial"/>
          <w:sz w:val="20"/>
          <w:szCs w:val="20"/>
          <w:lang w:val="pt-PT"/>
        </w:rPr>
        <w:lastRenderedPageBreak/>
        <w:t>2019) e o Regulamento de Bolsas de Investigação da Universidade de Trás-os-Montes e Alto Douro – Despacho RT.36/2011, de 6 de Julho, do Sr. Reitor, publicado em Diário da Repú</w:t>
      </w:r>
      <w:r>
        <w:rPr>
          <w:rFonts w:ascii="Arial" w:eastAsia="Arial" w:hAnsi="Arial" w:cs="Arial"/>
          <w:sz w:val="20"/>
          <w:szCs w:val="20"/>
          <w:lang w:val="pt-PT"/>
        </w:rPr>
        <w:t>blica pelo Despacho Nº 9157/2011 (II Série), de 19 de Julho.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Local de trabalho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será desenvolvido no(a) Centro de Ciências Animal e Veterinária da Universidade de Trás-os-Montes e Alto Douro, sob a orientação científica do Professor (a) Doutor </w:t>
      </w:r>
      <w:r>
        <w:rPr>
          <w:rFonts w:ascii="Arial" w:eastAsia="Arial" w:hAnsi="Arial" w:cs="Arial"/>
          <w:sz w:val="20"/>
          <w:szCs w:val="20"/>
          <w:lang w:val="pt-PT"/>
        </w:rPr>
        <w:t>(a) Cristina Maria Teixeira Saraiva.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terá coorientação científica do(a) Professor(a) Isabel Cristina Ribeiro Pires e do(a) Professor(a) Alexandra Sofia </w:t>
      </w:r>
      <w:proofErr w:type="spellStart"/>
      <w:r>
        <w:rPr>
          <w:rFonts w:ascii="Arial" w:eastAsia="Arial" w:hAnsi="Arial" w:cs="Arial"/>
          <w:sz w:val="20"/>
          <w:szCs w:val="20"/>
          <w:lang w:val="pt-PT"/>
        </w:rPr>
        <w:t>Miguens</w:t>
      </w:r>
      <w:proofErr w:type="spellEnd"/>
      <w:r>
        <w:rPr>
          <w:rFonts w:ascii="Arial" w:eastAsia="Arial" w:hAnsi="Arial" w:cs="Arial"/>
          <w:sz w:val="20"/>
          <w:szCs w:val="20"/>
          <w:lang w:val="pt-PT"/>
        </w:rPr>
        <w:t xml:space="preserve"> Fidalgo Esteves.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Duração da (s) bolsa (s)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A bolsa terá a duração de 3 meses, com in</w:t>
      </w:r>
      <w:r>
        <w:rPr>
          <w:rFonts w:ascii="Arial" w:eastAsia="Arial" w:hAnsi="Arial" w:cs="Arial"/>
          <w:sz w:val="20"/>
          <w:szCs w:val="20"/>
          <w:lang w:val="pt-PT"/>
        </w:rPr>
        <w:t xml:space="preserve">ício previsto em Janeiro de 2023. O contrato de bolsa poderá ser renovado, sendo que a duração total não poderá exceder os 12 meses.. 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PT"/>
        </w:rPr>
      </w:pPr>
      <w:r>
        <w:rPr>
          <w:rFonts w:ascii="Arial" w:eastAsia="Arial" w:hAnsi="Arial" w:cs="Arial"/>
          <w:b/>
          <w:bCs/>
          <w:sz w:val="20"/>
          <w:szCs w:val="20"/>
          <w:lang w:val="pt-PT"/>
        </w:rPr>
        <w:t>Nota: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lang w:val="pt-PT"/>
        </w:rPr>
      </w:pP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Se a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bolsa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for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atribuída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estudantes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inscritos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em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curso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não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conferente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de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grau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académico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, o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contrato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não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poderá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ultrapassar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duração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total de 12 </w:t>
      </w:r>
      <w:proofErr w:type="spellStart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meses</w:t>
      </w:r>
      <w:proofErr w:type="spellEnd"/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>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Valor do subsídio de manutenção mensal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montante da bolsa corresponde a €1144,64, conforme tabela de valores das bolsas atribuídas diretamente pela FCT, I.P. no País </w:t>
      </w:r>
      <w:r>
        <w:rPr>
          <w:rFonts w:ascii="Arial" w:eastAsia="Arial" w:hAnsi="Arial" w:cs="Arial"/>
          <w:sz w:val="18"/>
          <w:szCs w:val="18"/>
          <w:lang w:val="pt-PT"/>
        </w:rPr>
        <w:t>(</w:t>
      </w:r>
      <w:bookmarkStart w:id="1" w:name="OLE_LINK1"/>
      <w:bookmarkStart w:id="2" w:name="OLE_LINK2"/>
      <w:r>
        <w:fldChar w:fldCharType="begin"/>
      </w:r>
      <w:r>
        <w:instrText xml:space="preserve"> HYPERLINK "https://www.fct.pt/apoios/bolsa</w:instrText>
      </w:r>
      <w:r>
        <w:instrText xml:space="preserve">s/valores" </w:instrText>
      </w:r>
      <w:r>
        <w:fldChar w:fldCharType="separate"/>
      </w:r>
      <w:r>
        <w:rPr>
          <w:rStyle w:val="Hiperligao"/>
          <w:rFonts w:ascii="Arial" w:eastAsia="Arial" w:hAnsi="Arial" w:cs="Arial"/>
          <w:sz w:val="18"/>
          <w:szCs w:val="18"/>
          <w:lang w:val="pt-PT"/>
        </w:rPr>
        <w:t>https://www.fct.pt/apoios/bolsas/valores</w:t>
      </w:r>
      <w:r>
        <w:rPr>
          <w:rStyle w:val="Hiperligao"/>
          <w:rFonts w:ascii="Arial" w:eastAsia="Arial" w:hAnsi="Arial" w:cs="Arial"/>
          <w:sz w:val="18"/>
          <w:szCs w:val="18"/>
          <w:lang w:val="pt-PT"/>
        </w:rPr>
        <w:fldChar w:fldCharType="end"/>
      </w:r>
      <w:bookmarkEnd w:id="1"/>
      <w:bookmarkEnd w:id="2"/>
      <w:r>
        <w:rPr>
          <w:rFonts w:ascii="Arial" w:eastAsia="Arial" w:hAnsi="Arial" w:cs="Arial"/>
          <w:sz w:val="18"/>
          <w:szCs w:val="18"/>
          <w:lang w:val="pt-PT"/>
        </w:rPr>
        <w:t>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 periodicidade de pagamento da bolsa é mensal e através de depósito bancário, cheque ou outra modalidade equivalente.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Métodos de seleção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métodos de seleção a utilizar serão os seguintes: </w:t>
      </w:r>
      <w:r>
        <w:rPr>
          <w:rFonts w:ascii="Arial" w:eastAsia="Arial" w:hAnsi="Arial" w:cs="Arial"/>
          <w:sz w:val="18"/>
          <w:szCs w:val="18"/>
          <w:lang w:val="pt-PT"/>
        </w:rPr>
        <w:t>Curricul</w:t>
      </w:r>
      <w:r>
        <w:rPr>
          <w:rFonts w:ascii="Arial" w:eastAsia="Arial" w:hAnsi="Arial" w:cs="Arial"/>
          <w:sz w:val="18"/>
          <w:szCs w:val="18"/>
          <w:lang w:val="pt-PT"/>
        </w:rPr>
        <w:t>um vitae, Experiência prévia na área do projeto e Entrevista</w:t>
      </w:r>
      <w:r>
        <w:rPr>
          <w:rFonts w:ascii="Arial" w:eastAsia="Arial" w:hAnsi="Arial" w:cs="Arial"/>
          <w:sz w:val="20"/>
          <w:szCs w:val="20"/>
          <w:lang w:val="pt-PT"/>
        </w:rPr>
        <w:t>, com a respetiva valoração de 45%, 25% e 30%.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Composição do Júri de Seleção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Presidente - Cristina Maria Teixeira Saraiva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Vogal - Cristina Vitória De Miranda Guedes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</w:t>
      </w:r>
      <w:proofErr w:type="spellStart"/>
      <w:r>
        <w:rPr>
          <w:rFonts w:ascii="Arial" w:eastAsia="Arial" w:hAnsi="Arial" w:cs="Arial"/>
          <w:sz w:val="20"/>
          <w:szCs w:val="20"/>
          <w:lang w:val="pt-PT"/>
        </w:rPr>
        <w:t>Luis</w:t>
      </w:r>
      <w:proofErr w:type="spellEnd"/>
      <w:r>
        <w:rPr>
          <w:rFonts w:ascii="Arial" w:eastAsia="Arial" w:hAnsi="Arial" w:cs="Arial"/>
          <w:sz w:val="20"/>
          <w:szCs w:val="20"/>
          <w:lang w:val="pt-PT"/>
        </w:rPr>
        <w:t xml:space="preserve"> Miguel Martins Lucas Cardoso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>Forma de publicitação/notificação dos resultados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Os resultados finais da avaliação serão publicitados, através de lista ordenada Alfabeticamente afixada no(a) Página Campus Online da UTAD (http://www.campus.utad</w:t>
      </w:r>
      <w:r>
        <w:rPr>
          <w:rFonts w:ascii="Arial" w:eastAsia="Arial" w:hAnsi="Arial" w:cs="Arial"/>
          <w:sz w:val="20"/>
          <w:szCs w:val="20"/>
          <w:lang w:val="pt-PT"/>
        </w:rPr>
        <w:t>.pt/bolsasinvestigacao/candidaturas), sendo o candidato(a) aprovado(a) notificado através de e-mail.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Caso a decisão a tomar seja desfavorável à concessão da bolsa requerida, os candidatos têm um prazo de 10 dias úteis, após a divulgação referida, para se p</w:t>
      </w:r>
      <w:r>
        <w:rPr>
          <w:rFonts w:ascii="Arial" w:eastAsia="Arial" w:hAnsi="Arial" w:cs="Arial"/>
          <w:sz w:val="20"/>
          <w:szCs w:val="20"/>
          <w:lang w:val="pt-PT"/>
        </w:rPr>
        <w:t>ronunciarem, querendo, em sede de audiência prévia, nos termos previstos no Código do Procedimento Administrativo.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lastRenderedPageBreak/>
        <w:t>Prazo de candidatura e forma de apresentação das candidaturas</w:t>
      </w:r>
      <w:r>
        <w:rPr>
          <w:rFonts w:ascii="Arial" w:eastAsia="Arial" w:hAnsi="Arial" w:cs="Arial"/>
          <w:sz w:val="20"/>
          <w:szCs w:val="20"/>
          <w:lang w:val="pt-PT"/>
        </w:rPr>
        <w:t>: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O concurso encontra-se aberto no período de 22-11-2022 a 06-12-2022.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 w:rsidR="00082540" w:rsidRDefault="00832576"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As candidaturas devem ser formalizadas, obrigatoriamente, através do envio de formulário de candidatura acompanhado dos seguintes documentos: Cópia do(s) certificado(s) de habilitações, Curriculum Vitae do bolseiro detalhado [comprovando os requisitos acim</w:t>
      </w:r>
      <w:r>
        <w:rPr>
          <w:rFonts w:ascii="Arial" w:eastAsia="Arial" w:hAnsi="Arial" w:cs="Arial"/>
          <w:sz w:val="20"/>
          <w:szCs w:val="20"/>
          <w:lang w:val="pt-PT"/>
        </w:rPr>
        <w:t>a referidos], Indicação dos seguintes dados: nº de cartão de cidadão,</w:t>
      </w:r>
    </w:p>
    <w:p w:rsidR="00082540" w:rsidRDefault="00832576"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</w:t>
      </w:r>
      <w:r>
        <w:rPr>
          <w:rFonts w:ascii="Arial" w:eastAsia="Arial" w:hAnsi="Arial" w:cs="Arial"/>
          <w:sz w:val="20"/>
          <w:szCs w:val="20"/>
          <w:lang w:val="pt-PT"/>
        </w:rPr>
        <w:t>nchido (que se encontra disponível na página de candidaturas) e Com base na lista de seriação final será constituída uma lista de reserva, a qual será utilizada para a eventual contratação de novos bolseiros no âmbito do presente projeto ou no caso de desi</w:t>
      </w:r>
      <w:r>
        <w:rPr>
          <w:rFonts w:ascii="Arial" w:eastAsia="Arial" w:hAnsi="Arial" w:cs="Arial"/>
          <w:sz w:val="20"/>
          <w:szCs w:val="20"/>
          <w:lang w:val="pt-PT"/>
        </w:rPr>
        <w:t>stência do/a candidato/a classificado/a em primeiro lugar. Na eventualidade de nenhum /a dos/as candidatos/as demonstrar possuir o perfil indicado para a realização do plano de trabalhos o júri reserva-se o direito de não atribuir a bolsa a concurso..</w:t>
      </w:r>
    </w:p>
    <w:p w:rsidR="00082540" w:rsidRDefault="00082540"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 w:rsidR="00082540" w:rsidRDefault="0083257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A c</w:t>
      </w:r>
      <w:r>
        <w:rPr>
          <w:rFonts w:ascii="Arial" w:eastAsia="Arial" w:hAnsi="Arial" w:cs="Arial"/>
          <w:sz w:val="20"/>
          <w:szCs w:val="20"/>
          <w:lang w:val="pt-PT"/>
        </w:rPr>
        <w:t>andidatura deverá ser efetuada através da Página do Campus Online da UTAD, na secção de Bolsas de Investigação, seguindo as seguintes indicações:</w:t>
      </w:r>
    </w:p>
    <w:p w:rsidR="00082540" w:rsidRDefault="0083257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Aceder à Página do Campus Online da UTAD: </w:t>
      </w:r>
      <w:hyperlink r:id="rId7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>www.campus.utad.pt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 e selec</w:t>
      </w:r>
      <w:r>
        <w:rPr>
          <w:rFonts w:ascii="Arial" w:eastAsia="Arial" w:hAnsi="Arial" w:cs="Arial"/>
          <w:sz w:val="20"/>
          <w:szCs w:val="20"/>
          <w:lang w:val="pt-PT"/>
        </w:rPr>
        <w:t xml:space="preserve">ionar a opção Bolsas de Investigação. Ou aceder diretamente a </w:t>
      </w:r>
      <w:hyperlink r:id="rId8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>www.campus.utad.pt/bolsasinvestigacao/lista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 w:rsidR="00082540" w:rsidRDefault="0083257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Selecionar a bolsa à qual se pretende candidatar.</w:t>
      </w:r>
    </w:p>
    <w:p w:rsidR="00082540" w:rsidRDefault="0083257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Ao selecionar a opção “Candidat</w:t>
      </w:r>
      <w:r>
        <w:rPr>
          <w:rFonts w:ascii="Arial" w:eastAsia="Arial" w:hAnsi="Arial" w:cs="Arial"/>
          <w:sz w:val="20"/>
          <w:szCs w:val="20"/>
          <w:lang w:val="pt-PT"/>
        </w:rPr>
        <w:t>ar” será reencaminhado para a página de candidatura na qual deverá preencher e submeter o respetivo formulário.</w:t>
      </w:r>
    </w:p>
    <w:p w:rsidR="00082540" w:rsidRDefault="0008254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08254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082540" w:rsidRDefault="0083257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O/a candidato/a tem direito a igualdade de oportunidades e de tratamento, não podendo ser privilegiado/a, beneficiado/a, prejudicado/a, privad</w:t>
      </w:r>
      <w:r>
        <w:rPr>
          <w:rFonts w:ascii="Arial" w:eastAsia="Arial" w:hAnsi="Arial" w:cs="Arial"/>
          <w:sz w:val="20"/>
          <w:szCs w:val="20"/>
          <w:lang w:val="pt-PT"/>
        </w:rPr>
        <w:t>o/a de qualquer direito ou isento/a de qualquer dever em razão, nomeadamente, de ascendência, idade, sexo, orientação sexual, estado civil, situação familiar, situação económica, instrução, origem ou condição social, património genético, capacidade de trab</w:t>
      </w:r>
      <w:r>
        <w:rPr>
          <w:rFonts w:ascii="Arial" w:eastAsia="Arial" w:hAnsi="Arial" w:cs="Arial"/>
          <w:sz w:val="20"/>
          <w:szCs w:val="20"/>
          <w:lang w:val="pt-PT"/>
        </w:rPr>
        <w:t>alho reduzida, deficiência, doença crónica, nacionalidade, origem étnica ou raça, território de origem, língua, religião, convicções políticas ou ideológicas e filiação sindical.</w:t>
      </w:r>
    </w:p>
    <w:sectPr w:rsidR="00082540">
      <w:headerReference w:type="default" r:id="rId9"/>
      <w:footerReference w:type="default" r:id="rId10"/>
      <w:pgSz w:w="11906" w:h="16838"/>
      <w:pgMar w:top="1438" w:right="1134" w:bottom="360" w:left="1134" w:header="720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76" w:rsidRDefault="00832576">
      <w:r>
        <w:separator/>
      </w:r>
    </w:p>
  </w:endnote>
  <w:endnote w:type="continuationSeparator" w:id="0">
    <w:p w:rsidR="00832576" w:rsidRDefault="0083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40" w:rsidRDefault="00832576">
    <w:pPr>
      <w:pStyle w:val="Rodap"/>
      <w:ind w:left="-180" w:right="-442"/>
    </w:pPr>
    <w:r>
      <w:rPr>
        <w:noProof/>
      </w:rPr>
      <w:drawing>
        <wp:inline distT="0" distB="0" distL="0" distR="0">
          <wp:extent cx="1371600" cy="30480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1209675" cy="314325"/>
          <wp:effectExtent l="0" t="0" r="9525" b="952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942975" cy="552450"/>
          <wp:effectExtent l="0" t="0" r="952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838200" cy="409575"/>
          <wp:effectExtent l="0" t="0" r="0" b="952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952500" cy="34290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76" w:rsidRDefault="00832576">
      <w:r>
        <w:separator/>
      </w:r>
    </w:p>
  </w:footnote>
  <w:footnote w:type="continuationSeparator" w:id="0">
    <w:p w:rsidR="00832576" w:rsidRDefault="0083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40" w:rsidRDefault="00832576">
    <w:pPr>
      <w:pStyle w:val="Cabealho"/>
      <w:jc w:val="right"/>
    </w:pPr>
    <w:r>
      <w:rPr>
        <w:noProof/>
      </w:rPr>
      <w:drawing>
        <wp:inline distT="0" distB="0" distL="0" distR="0">
          <wp:extent cx="2238375" cy="381000"/>
          <wp:effectExtent l="0" t="0" r="9525" b="0"/>
          <wp:docPr id="6" name="Imagem 6" descr="C:\Users\lfavas\AppData\Local\Microsoft\Windows\INetCache\Content.Word\logo_utad_completo_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540" w:rsidRDefault="000825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6E71"/>
    <w:multiLevelType w:val="hybridMultilevel"/>
    <w:tmpl w:val="515E0DFE"/>
    <w:lvl w:ilvl="0" w:tplc="19925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plc="A85C7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0AE5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C5B44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5218E5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65E0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E59E83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3B2A28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366B7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3E21E3F"/>
    <w:multiLevelType w:val="hybridMultilevel"/>
    <w:tmpl w:val="FFBEE542"/>
    <w:lvl w:ilvl="0" w:tplc="AF0284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CB23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16F26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BC1AC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AC76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FCE84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42743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726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4E32E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6A33AED"/>
    <w:multiLevelType w:val="multilevel"/>
    <w:tmpl w:val="991E8A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5C90267"/>
    <w:multiLevelType w:val="hybridMultilevel"/>
    <w:tmpl w:val="A9EAF0F2"/>
    <w:lvl w:ilvl="0" w:tplc="F7BA53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6BAA7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60C2D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DACD9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78AC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32B6D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A8144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CA6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1049C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5D10B6D"/>
    <w:multiLevelType w:val="hybridMultilevel"/>
    <w:tmpl w:val="1C58C0A6"/>
    <w:lvl w:ilvl="0" w:tplc="37449F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B68C0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6CB7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32C63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D8BE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66FCA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9A775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520E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E624B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23C64DA"/>
    <w:multiLevelType w:val="hybridMultilevel"/>
    <w:tmpl w:val="9350DE56"/>
    <w:lvl w:ilvl="0" w:tplc="3FC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6002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4EBE36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C9682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FA74DB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594A0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C9F43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D4122E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9A46F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CC5126D"/>
    <w:multiLevelType w:val="singleLevel"/>
    <w:tmpl w:val="2CFC14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24A47B2"/>
    <w:multiLevelType w:val="singleLevel"/>
    <w:tmpl w:val="66761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B015DF"/>
    <w:multiLevelType w:val="hybridMultilevel"/>
    <w:tmpl w:val="7E587508"/>
    <w:lvl w:ilvl="0" w:tplc="4092B4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E205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642C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7CF9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56F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9AC8E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56295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7EA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50518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A014DDC"/>
    <w:multiLevelType w:val="multilevel"/>
    <w:tmpl w:val="784EDC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40"/>
    <w:rsid w:val="00082540"/>
    <w:rsid w:val="003C7BD5"/>
    <w:rsid w:val="00832576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2140D"/>
  <w15:chartTrackingRefBased/>
  <w15:docId w15:val="{4C4CE3F4-4D8E-466F-B4D7-75B8FBA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vanodecorpodetexto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tulo">
    <w:name w:val="Title"/>
    <w:basedOn w:val="Normal"/>
    <w:qFormat/>
    <w:pPr>
      <w:jc w:val="center"/>
    </w:pPr>
    <w:rPr>
      <w:sz w:val="40"/>
      <w:lang w:val="pt-PT"/>
    </w:rPr>
  </w:style>
  <w:style w:type="paragraph" w:styleId="Corpodetexto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</w:pPr>
    <w:rPr>
      <w:lang w:val="pt-PT"/>
    </w:rPr>
  </w:style>
  <w:style w:type="paragraph" w:styleId="Subttulo">
    <w:name w:val="Subtitle"/>
    <w:basedOn w:val="Normal"/>
    <w:next w:val="Normal"/>
    <w:qFormat/>
    <w:pPr>
      <w:jc w:val="center"/>
    </w:pPr>
    <w:rPr>
      <w:b/>
      <w:sz w:val="32"/>
      <w:lang w:val="pt-PT"/>
    </w:rPr>
  </w:style>
  <w:style w:type="paragraph" w:styleId="Cabealho">
    <w:name w:val="header"/>
    <w:basedOn w:val="Normal"/>
    <w:next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next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lang w:val="pt-PT"/>
    </w:rPr>
  </w:style>
  <w:style w:type="paragraph" w:styleId="Textodebalo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Textodenotaderodap">
    <w:name w:val="footnote text"/>
    <w:basedOn w:val="Normal"/>
    <w:semiHidden/>
    <w:rPr>
      <w:rFonts w:ascii="Calibri" w:eastAsia="Calibri" w:hAnsi="Calibri" w:cs="Calibri"/>
      <w:sz w:val="20"/>
      <w:szCs w:val="20"/>
      <w:lang w:val="pt-PT"/>
    </w:rPr>
  </w:style>
  <w:style w:type="character" w:customStyle="1" w:styleId="TextodenotaderodapCarter">
    <w:name w:val="Texto de nota de rodapé Caráter"/>
    <w:semiHidden/>
    <w:rPr>
      <w:rFonts w:ascii="Calibri" w:eastAsia="Calibri" w:hAnsi="Calibri" w:cs="Calibri"/>
      <w:lang w:val="pt-PT" w:eastAsia="en-US" w:bidi="ar-SA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customStyle="1" w:styleId="SubttuloCarter">
    <w:name w:val="Subtítulo Caráter"/>
    <w:rPr>
      <w:b/>
      <w:sz w:val="32"/>
      <w:szCs w:val="24"/>
      <w:lang w:eastAsia="en-US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character" w:styleId="Forte">
    <w:name w:val="Strong"/>
    <w:basedOn w:val="Tipodeletrapredefinidodopargrafo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.utad.pt/bolsasinvestigacao/li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us.utad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para Atribuição de Bolsa para Investigação</vt:lpstr>
    </vt:vector>
  </TitlesOfParts>
  <Manager>Sara Alves Dias</Manager>
  <Company>Universidade de Trás-os-Montes e Alto Douro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subject/>
  <dc:creator>Campus UTAD</dc:creator>
  <cp:keywords/>
  <cp:lastModifiedBy>Maria João</cp:lastModifiedBy>
  <cp:revision>2</cp:revision>
  <cp:lastPrinted>2011-05-05T09:43:00Z</cp:lastPrinted>
  <dcterms:created xsi:type="dcterms:W3CDTF">2022-12-09T16:33:00Z</dcterms:created>
  <dcterms:modified xsi:type="dcterms:W3CDTF">2022-12-09T16:33:00Z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