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eg" ContentType="image/jpeg"/>
  <Default Extension="wmf" ContentType="image/x-wmf"/>
  <Default Extension="png" ContentType="image/.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Subttulo"/>
        <w:spacing w:line="360" w:lineRule="auto"/>
        <w:rPr>
          <w:rFonts w:ascii="Arial" w:eastAsia="Arial" w:hAnsi="Arial" w:cs="Arial"/>
          <w:sz w:val="24"/>
          <w:szCs w:val="28"/>
        </w:rPr>
      </w:pPr>
      <w:r>
        <w:rPr>
          <w:rFonts w:ascii="Arial" w:eastAsia="Arial" w:hAnsi="Arial" w:cs="Arial"/>
          <w:sz w:val="24"/>
          <w:szCs w:val="28"/>
        </w:rPr>
        <w:t xml:space="preserve">Bolsas de investigação — Atividades de I&amp;D a realizar por estudantes de doutoramento</w:t>
      </w:r>
    </w:p>
    <w:p>
      <w:pPr>
        <w:pStyle w:val="Subttulo"/>
        <w:spacing w:line="360" w:lineRule="auto"/>
        <w:rPr>
          <w:rFonts w:ascii="Arial" w:eastAsia="Arial" w:hAnsi="Arial" w:cs="Arial"/>
          <w:b w:val="0"/>
          <w:i/>
          <w:color w:val="0070C0"/>
          <w:sz w:val="20"/>
          <w:szCs w:val="20"/>
        </w:rPr>
      </w:pPr>
      <w:r>
        <w:rPr>
          <w:rFonts w:ascii="Arial" w:eastAsia="Arial" w:hAnsi="Arial" w:cs="Arial"/>
          <w:sz w:val="24"/>
          <w:szCs w:val="28"/>
        </w:rPr>
        <w:t xml:space="preserve">(</w:t>
      </w:r>
      <w:r>
        <w:rPr>
          <w:rFonts w:ascii="Arial" w:eastAsia="Arial" w:hAnsi="Arial" w:cs="Arial"/>
          <w:sz w:val="24"/>
          <w:szCs w:val="28"/>
        </w:rPr>
        <w:t xml:space="preserve">1 vaga</w:t>
      </w:r>
      <w:r>
        <w:rPr>
          <w:rFonts w:ascii="Arial" w:eastAsia="Arial" w:hAnsi="Arial" w:cs="Arial"/>
          <w:sz w:val="24"/>
          <w:szCs w:val="28"/>
        </w:rPr>
        <w:t xml:space="preserve">)</w:t>
      </w:r>
    </w:p>
    <w:p>
      <w:pPr>
        <w:pStyle w:val="Subttulo"/>
        <w:spacing w:line="360" w:lineRule="auto"/>
        <w:rPr>
          <w:rFonts w:ascii="Arial" w:eastAsia="Arial" w:hAnsi="Arial" w:cs="Arial"/>
          <w:sz w:val="24"/>
          <w:szCs w:val="28"/>
        </w:rPr>
      </w:pPr>
    </w:p>
    <w:p>
      <w:pPr>
        <w:pStyle w:val="Subttulo"/>
        <w:spacing w:line="360" w:lineRule="auto"/>
        <w:rPr>
          <w:rFonts w:ascii="Arial" w:eastAsia="Arial" w:hAnsi="Arial" w:cs="Arial"/>
          <w:sz w:val="24"/>
          <w:szCs w:val="28"/>
        </w:rPr>
      </w:pPr>
    </w:p>
    <w:p>
      <w:pPr>
        <w:pStyle w:val="Subttulo"/>
        <w:spacing w:line="360" w:lineRule="auto"/>
        <w:jc w:val="left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REFERÊNCIA: </w:t>
      </w:r>
      <w:r>
        <w:rPr>
          <w:rFonts w:ascii="Arial" w:eastAsia="Arial" w:hAnsi="Arial" w:cs="Arial"/>
          <w:sz w:val="20"/>
          <w:szCs w:val="20"/>
        </w:rPr>
        <w:t xml:space="preserve">BI/UTAD/32/2023</w:t>
      </w:r>
    </w:p>
    <w:p>
      <w:pPr>
        <w:pStyle w:val="Subttulo"/>
        <w:spacing w:line="360" w:lineRule="auto"/>
        <w:rPr/>
      </w:pPr>
    </w:p>
    <w:p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Encontra-se aberto concurso para 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atribuição de 1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Bolsas de investigação — Atividades de I&amp;D a realizar por estudantes de doutoramento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no âmbito do projeto/instituição de I&amp;D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Projeto "WaterQB - Plataforma web para apoio à gestão da rega visando a convivência com a variabilidade e as alterações climáticas", com a Ref. 2022.04553.PTDC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BI/UTAD/32/2023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financiado por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Fundos Nacionais através da FCT - Fundação para a Ciência e a Tecnologia - Projeto "WaterQB - Plataforma web para apoio à gestão da rega visando a convivência com a variabilidade e as alterações climáticas", com a Ref. 2022.04553.PTDC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nas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seguintes condições:</w:t>
      </w: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Área Científica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Outra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Requisitos de admissã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o: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1.º - Conhecimentos de análise de dados/estatística*;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2.º - Domínio de sistemas de informação geográfica*;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3.º - Conhecimentos de Python e/ou Matlab e/ou R*;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4.º - Experiencia no uso e tratamento de dados climáticos;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5.º - Domínio do Inglês*;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16"/>
          <w:szCs w:val="20"/>
          <w:lang w:val="pt-PT"/>
        </w:rPr>
      </w:pPr>
      <w:r>
        <w:rPr>
          <w:rFonts w:ascii="Arial" w:eastAsia="Arial" w:hAnsi="Arial" w:cs="Arial"/>
          <w:sz w:val="16"/>
          <w:szCs w:val="20"/>
          <w:lang w:val="pt-PT"/>
        </w:rPr>
        <w:t xml:space="preserve">* fator eliminatório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Plano de trabalhos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Participação nas tarefas do projeto, nomeadamente: Task 3 – Climate variability, droughts and climate change scenarios; Task 6 – Design and evaluation of preparedness and adaptation measures;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Legislação e regulamentação aplicável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Lei Nº. 40/2004, de 18 de Agosto (Estatuto do Bolseiro de Investigação Científica); Regulamento de Bolsas de Investigação da FCT, I. P., aprovado pelo Regulamento nº 234/2012, publicado na II Série do Diário da República de 25 de junho de 2012, alterado e republicado pelo Regulamento nº 326/2013, publicado na II Série do Diário da República de 27 de julho de 2013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alterado pelo Regulamento nº 339/2015, publicado na II Série do Diário da República de 17 de junho de 2015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e Lei n.º71/2018 (Lei do Orçamento do Estado para 2019)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e o Regulamento de Bolsas de Investigação da Universidade de Trás-os-Montes e Alto Douro – Despacho RT.36/2011, de 6 de Julho, do Sr. Reitor, publicado em Diário da República pelo Despacho Nº 9157/2011 (II Série), de 19 de Julho.</w:t>
      </w: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Local de trabalho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trabalho será desenvolvido no(a)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Universidade de Trás-os-Montes e Alto Douro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da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Universidade de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Trás-os-Montes e Alto Douro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sob a orientação científica do Profe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ssor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(a)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Doutor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(a)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Helder Fraga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trabalho terá coorientação científica do(a) Professor(a) João Santos e do(a) Professor(a) Aureliano Natálio Coelho Malheiro.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Duração da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(s) bolsa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pt-PT"/>
        </w:rPr>
        <w:t xml:space="preserve">(s)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 bolsa terá 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duração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12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meses, com início previsto em Junho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2023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O contrato de bolsa poderá ser renovado, sendo que a duração total não poderá exceder os 32 meses.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 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pt-PT"/>
        </w:rPr>
      </w:pPr>
      <w:r>
        <w:rPr>
          <w:rFonts w:ascii="Arial" w:eastAsia="Arial" w:hAnsi="Arial" w:cs="Arial"/>
          <w:b/>
          <w:bCs/>
          <w:sz w:val="20"/>
          <w:szCs w:val="20"/>
          <w:lang w:val="pt-PT"/>
        </w:rPr>
        <w:t xml:space="preserve">Nota:</w:t>
      </w:r>
    </w:p>
    <w:p>
      <w:pPr>
        <w:spacing w:line="360" w:lineRule="auto"/>
        <w:jc w:val="both"/>
        <w:rPr>
          <w:rFonts w:ascii="Arial" w:eastAsia="Arial" w:hAnsi="Arial" w:cs="Arial"/>
          <w:b/>
          <w:bCs/>
          <w:color w:val="0070C0"/>
          <w:sz w:val="20"/>
          <w:szCs w:val="20"/>
          <w:lang w:val="pt-PT"/>
        </w:rPr>
      </w:pP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Se a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bolsa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for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atribuída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a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estudantes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inscritos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em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curso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não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conferente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de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grau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académico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, o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contrato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não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poderá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ultrapassar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a 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duração</w:t>
      </w:r>
      <w:r>
        <w:rPr>
          <w:rStyle w:val="Forte"/>
          <w:rFonts w:ascii="Arial" w:eastAsia="Arial" w:hAnsi="Arial" w:cs="Arial"/>
          <w:b w:val="0"/>
          <w:bCs w:val="0"/>
          <w:sz w:val="20"/>
          <w:szCs w:val="20"/>
        </w:rPr>
        <w:t xml:space="preserve"> total de 12 meses.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Valor do subsídio de manutenção mensal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mont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ante da bolsa corresponde a €1199,64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conforme tabela de valores das bolsas atribuídas dire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tamente pela FCT, I.P. no País </w:t>
      </w:r>
      <w:r>
        <w:rPr>
          <w:rFonts w:ascii="Arial" w:eastAsia="Arial" w:hAnsi="Arial" w:cs="Arial"/>
          <w:sz w:val="18"/>
          <w:szCs w:val="18"/>
          <w:lang w:val="pt-PT"/>
        </w:rPr>
        <w:t xml:space="preserve">(</w:t>
      </w:r>
      <w:bookmarkStart w:id="2" w:name="OLE_LINK1"/>
      <w:bookmarkStart w:id="3" w:name="OLE_LINK2"/>
      <w:hyperlink r:id="rId1" w:history="1">
        <w:r>
          <w:rPr>
            <w:rStyle w:val="Hiperligao"/>
            <w:rFonts w:ascii="Arial" w:eastAsia="Arial" w:hAnsi="Arial" w:cs="Arial"/>
            <w:sz w:val="18"/>
            <w:szCs w:val="18"/>
            <w:lang w:val="pt-PT"/>
          </w:rPr>
          <w:t xml:space="preserve">https://www.fct.pt/apoios/bolsas/valores</w:t>
        </w:r>
      </w:hyperlink>
      <w:bookmarkEnd w:id="2"/>
      <w:bookmarkEnd w:id="3"/>
      <w:r>
        <w:rPr>
          <w:rFonts w:ascii="Arial" w:eastAsia="Arial" w:hAnsi="Arial" w:cs="Arial"/>
          <w:sz w:val="18"/>
          <w:szCs w:val="18"/>
          <w:lang w:val="pt-PT"/>
        </w:rPr>
        <w:t xml:space="preserve">)</w:t>
      </w:r>
      <w:r>
        <w:rPr>
          <w:rFonts w:ascii="Arial" w:eastAsia="Arial" w:hAnsi="Arial" w:cs="Arial"/>
          <w:sz w:val="18"/>
          <w:szCs w:val="18"/>
          <w:lang w:val="pt-PT"/>
        </w:rPr>
        <w:t xml:space="preserve">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 periodicidade de pagamento da bolsa é mensal e através de depósito bancário, cheque ou outra modalidade equivalente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Métodos de seleção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Os métodos de seleção a utilizar serão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os seguintes: </w:t>
      </w:r>
      <w:r>
        <w:rPr>
          <w:rFonts w:ascii="Arial" w:eastAsia="Arial" w:hAnsi="Arial" w:cs="Arial"/>
          <w:sz w:val="18"/>
          <w:szCs w:val="18"/>
          <w:lang w:val="pt-PT"/>
        </w:rPr>
        <w:t xml:space="preserve">Avaliação curricular e Entrevista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com 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respetiva valoração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70% e 30%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Composição do Júri de Seleção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Presidente - Helder José Chaves Fraga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Vogal - João Carlos Andrade Dos Santos</w:t>
      </w:r>
    </w:p>
    <w:p>
      <w:pPr>
        <w:pageBreakBefore w:val="0"/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Vogal - Aureliano Natálio Coelho Malheiro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Forma de publicitação/notificação dos resultados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Os resultados finais da avaliação serão publicitados, através de lista ordenada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Nota Final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afixada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n</w:t>
      </w:r>
      <w:r>
        <w:rPr>
          <w:rFonts w:ascii="Arial" w:eastAsia="Arial" w:hAnsi="Arial" w:cs="Arial"/>
          <w:sz w:val="20"/>
          <w:szCs w:val="20"/>
          <w:lang w:val="pt-PT"/>
        </w:rPr>
        <w:t xml:space="preserve">o(a)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Página Campus Online da UTAD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(http://www.campus.utad.pt/bolsasinvestigacao/candidaturas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)</w:t>
      </w:r>
      <w:r>
        <w:rPr>
          <w:rFonts w:ascii="Arial" w:eastAsia="Arial" w:hAnsi="Arial" w:cs="Arial"/>
          <w:sz w:val="20"/>
          <w:szCs w:val="20"/>
          <w:lang w:val="pt-PT"/>
        </w:rPr>
        <w:t xml:space="preserve">, sendo o candidato(a) aprovado(a</w:t>
      </w:r>
      <w:r>
        <w:rPr>
          <w:rFonts w:ascii="Arial" w:eastAsia="Arial" w:hAnsi="Arial" w:cs="Arial"/>
          <w:sz w:val="20"/>
          <w:szCs w:val="20"/>
          <w:lang w:val="pt-PT"/>
        </w:rPr>
        <w:t xml:space="preserve">) notificado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através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de e-mail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Caso a decisão a tomar seja desfavorável à concessão da bolsa requerida, os candidatos têm um prazo de 10 dias úteis, após a divulgação referida, para se pronunciarem, querendo, em sede de audiência prévia, nos termos previstos no Código do Procedimento Administrativo.</w:t>
      </w: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b/>
          <w:sz w:val="20"/>
          <w:szCs w:val="20"/>
          <w:lang w:val="pt-PT"/>
        </w:rPr>
        <w:t xml:space="preserve">Prazo de candidatura e forma de apresentação das candidaturas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:</w:t>
      </w: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 concurso encontra-se aber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to no período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24-05-2023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a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06-06-2023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As candidaturas devem ser formalizadas, obrigatoriamente, através do envio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formulário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candidatura acompanhado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dos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seguintes documentos: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Cópia do(s) certificado(s) de habilitações, Curriculum Vitae do bolseiro detalhado [comprovando os requisitos acima referidos], Indicação dos seguintes dados: nº de cartão de cidadão,</w:t>
      </w:r>
    </w:p>
    <w:p>
      <w:pPr>
        <w:spacing w:line="360" w:lineRule="auto"/>
        <w:jc w:val="both"/>
        <w:rPr>
          <w:rFonts w:ascii="Arial" w:eastAsia="Arial" w:hAnsi="Arial" w:cs="Arial"/>
          <w:i/>
          <w:color w:val="0070C0"/>
          <w:sz w:val="18"/>
          <w:szCs w:val="18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                                    nº de identificação fiscal – NIF, data de nascimento, contacto de telemóvel e endereço de correio eletrónico, Declaração sob compromisso de honra preenchido (que se encontra disponível na página de candidaturas) e Com base na lista de seriação final será constituída uma lista de reserva, a qual será utilizada para a eventual contratação de novos bolseiros no âmbito do presente projeto ou no caso de desistência do/a candidato/a classificado/a em primeiro lugar. Na eventualidade de nenhum /a dos/as candidatos/as demonstrar possuir o perfil indicado para a realização do plano de trabalhos o júri reserva-se o direito de não atribuir a bolsa a concurso.</w:t>
      </w:r>
      <w:r>
        <w:rPr>
          <w:rFonts w:ascii="Arial" w:eastAsia="Arial" w:hAnsi="Arial" w:cs="Arial"/>
          <w:sz w:val="20"/>
          <w:szCs w:val="20"/>
          <w:lang w:val="pt-PT"/>
        </w:rPr>
        <w:t xml:space="preserve">.</w:t>
      </w:r>
    </w:p>
    <w:p>
      <w:pPr>
        <w:spacing w:line="360" w:lineRule="auto"/>
        <w:jc w:val="both"/>
        <w:rPr>
          <w:rFonts w:ascii="Arial" w:eastAsia="Arial" w:hAnsi="Arial" w:cs="Arial"/>
          <w:color w:val="0070C0"/>
          <w:sz w:val="18"/>
          <w:szCs w:val="18"/>
          <w:lang w:val="pt-PT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 candidatura deverá ser efetuada através da Página do Campus Online da UTAD, na secção de Bolsas de Investigação, seguindo as seguintes indicações:</w:t>
      </w:r>
    </w:p>
    <w:p>
      <w:pPr>
        <w:pStyle w:val="PargrafodaLista"/>
        <w:autoSpaceDE w:val="0"/>
        <w:autoSpaceDN w:val="0"/>
        <w:adjustRightInd w:val="0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Aceder à Página do Campus Online da UTAD: </w:t>
      </w:r>
      <w:hyperlink r:id="rId2" w:history="1">
        <w:r>
          <w:rPr>
            <w:rStyle w:val="Hiperligao"/>
            <w:rFonts w:ascii="Arial" w:eastAsia="Arial" w:hAnsi="Arial" w:cs="Arial"/>
            <w:sz w:val="20"/>
            <w:szCs w:val="20"/>
            <w:lang w:val="pt-PT"/>
          </w:rPr>
          <w:t xml:space="preserve">www.campus.utad.pt</w:t>
        </w:r>
      </w:hyperlink>
      <w:r>
        <w:rPr>
          <w:rFonts w:ascii="Arial" w:eastAsia="Arial" w:hAnsi="Arial" w:cs="Arial"/>
          <w:sz w:val="20"/>
          <w:szCs w:val="20"/>
          <w:lang w:val="pt-PT"/>
        </w:rPr>
        <w:t xml:space="preserve"> e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</w:t>
      </w:r>
      <w:r>
        <w:rPr>
          <w:rFonts w:ascii="Arial" w:eastAsia="Arial" w:hAnsi="Arial" w:cs="Arial"/>
          <w:sz w:val="20"/>
          <w:szCs w:val="20"/>
          <w:lang w:val="pt-PT"/>
        </w:rPr>
        <w:t xml:space="preserve">elecionar a opção Bolsas de Investigação. Ou aceder diretamente a </w:t>
      </w:r>
      <w:hyperlink r:id="rId3" w:history="1">
        <w:r>
          <w:rPr>
            <w:rStyle w:val="Hiperligao"/>
            <w:rFonts w:ascii="Arial" w:eastAsia="Arial" w:hAnsi="Arial" w:cs="Arial"/>
            <w:sz w:val="20"/>
            <w:szCs w:val="20"/>
            <w:lang w:val="pt-PT"/>
          </w:rPr>
          <w:t xml:space="preserve">www.campus.utad.pt/bolsasinvestigacao/lista</w:t>
        </w:r>
      </w:hyperlink>
      <w:r>
        <w:rPr>
          <w:rFonts w:ascii="Arial" w:eastAsia="Arial" w:hAnsi="Arial" w:cs="Arial"/>
          <w:sz w:val="20"/>
          <w:szCs w:val="20"/>
          <w:lang w:val="pt-PT"/>
        </w:rPr>
        <w:t xml:space="preserve">. </w:t>
      </w:r>
    </w:p>
    <w:p>
      <w:pPr>
        <w:pStyle w:val="PargrafodaLista"/>
        <w:autoSpaceDE w:val="0"/>
        <w:autoSpaceDN w:val="0"/>
        <w:adjustRightInd w:val="0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Selecionar a bolsa à qual se pretende candidatar.</w:t>
      </w:r>
    </w:p>
    <w:p>
      <w:pPr>
        <w:pStyle w:val="PargrafodaLista"/>
        <w:autoSpaceDE w:val="0"/>
        <w:autoSpaceDN w:val="0"/>
        <w:adjustRightInd w:val="0"/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Ao selecionar a opção “Candidatar” será reencaminhado para a página de candidatura na qual deverá preencher e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submeter</w:t>
      </w:r>
      <w:r>
        <w:rPr>
          <w:rFonts w:ascii="Arial" w:eastAsia="Arial" w:hAnsi="Arial" w:cs="Arial"/>
          <w:sz w:val="20"/>
          <w:szCs w:val="20"/>
          <w:lang w:val="pt-PT"/>
        </w:rPr>
        <w:t xml:space="preserve"> o respetivo formulário.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eastAsia="Arial" w:hAnsi="Arial" w:cs="Arial"/>
          <w:sz w:val="20"/>
          <w:szCs w:val="20"/>
          <w:lang w:val="pt-PT"/>
        </w:rPr>
        <w:t xml:space="preserve">O/a candidato/a tem direito a igualdade de oportunidades e de tratamento, não podendo ser privilegiado/a, beneficiado/a, prejudicado/a, privado/a de qualquer direito ou isento/a de qualquer dever em razão, nomeadamente, de ascendência, idade, sexo, orientação sexual, estado civil, situação familiar, situação </w:t>
      </w:r>
      <w:r>
        <w:rPr>
          <w:rFonts w:ascii="Arial" w:eastAsia="Arial" w:hAnsi="Arial" w:cs="Arial"/>
          <w:sz w:val="20"/>
          <w:szCs w:val="20"/>
          <w:lang w:val="pt-PT"/>
        </w:rPr>
        <w:t xml:space="preserve">económica, instrução, origem ou condição social, património genético, capacidade de trabalho reduzida, deficiência, doença crónica, nacionalidade, origem étnica ou raça, território de origem, língua, religião, convicções políticas ou ideológicas e filiação sindical.</w:t>
      </w:r>
    </w:p>
    <w:sectPr>
      <w:headerReference w:type="default" r:id="rId4"/>
      <w:footerReference w:type="default" r:id="rId5"/>
      <w:type w:val="nextPage"/>
      <w:pgSz w:w="11906" w:h="16838"/>
      <w:pgMar w:top="1438" w:right="1134" w:bottom="360" w:left="1134" w:footer="324" w:header="72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00000000" w:csb1="1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E0002EFF" w:csb1="C000785B"/>
  </w:font>
  <w:font w:name="Courier New">
    <w:panose1 w:val="02070309020205020404"/>
    <w:charset w:val="00"/>
    <w:family w:val="Auto"/>
    <w:pitch w:val="fixed"/>
    <w:sig w:usb0="E0002EFF" w:usb1="C0007843" w:usb2="00000009" w:usb3="00000000" w:csb0="E0002EFF" w:csb1="C0007843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10000000"/>
  </w:font>
  <w:font w:name="Arial">
    <w:panose1 w:val="020B0604020202020204"/>
    <w:charset w:val="00"/>
    <w:family w:val="Auto"/>
    <w:pitch w:val="variable"/>
    <w:sig w:usb0="E0002EFF" w:usb1="C000785B" w:usb2="00000009" w:usb3="00000000" w:csb0="E0002EFF" w:csb1="C000785B"/>
  </w:font>
  <w:font w:name="Tahoma">
    <w:panose1 w:val="020B0604030504040204"/>
    <w:charset w:val="00"/>
    <w:family w:val="Auto"/>
    <w:pitch w:val="variable"/>
    <w:sig w:usb0="E1002EFF" w:usb1="C000605B" w:usb2="00000029" w:usb3="00000000" w:csb0="E1002EFF" w:csb1="C000605B"/>
  </w:font>
  <w:font w:name="Calibri">
    <w:panose1 w:val="020F0502020204030204"/>
    <w:charset w:val="00"/>
    <w:family w:val="Auto"/>
    <w:pitch w:val="variable"/>
    <w:sig w:usb0="E4002EFF" w:usb1="C000247B" w:usb2="00000009" w:usb3="00000000" w:csb0="E4002EFF" w:csb1="C000247B"/>
  </w:font>
  <w:font w:name="Calibri Light">
    <w:panose1 w:val="020F0302020204030204"/>
    <w:charset w:val="00"/>
    <w:family w:val="Auto"/>
    <w:pitch w:val="variable"/>
    <w:sig w:usb0="E4002EFF" w:usb1="C000247B" w:usb2="00000009" w:usb3="00000000" w:csb0="E4002EFF" w:csb1="C000247B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Rodap"/>
      <w:tabs>
        <w:tab w:pos="4252" w:val="center"/>
        <w:tab w:pos="8504" w:val="right"/>
      </w:tabs>
      <w:spacing/>
      <w:ind w:left="-180" w:right="-442"/>
      <w:rPr/>
    </w:pPr>
    <w:r>
      <w:rPr>
        <w:noProof/>
      </w:rPr>
      <w:drawing>
        <wp:inline>
          <wp:extent cx="1371600" cy="304800"/>
          <wp:effectExtent xmlns:wp="http://schemas.openxmlformats.org/drawingml/2006/wordprocessingDrawing" l="0" t="0" r="0" b="0"/>
          <wp:docPr id="1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</w:t>
    </w:r>
    <w:r>
      <w:rPr/>
      <w:t xml:space="preserve"> </w:t>
    </w:r>
    <w:r>
      <w:rPr>
        <w:noProof/>
      </w:rPr>
      <w:drawing>
        <wp:inline>
          <wp:extent cx="1209675" cy="314325"/>
          <wp:effectExtent xmlns:wp="http://schemas.openxmlformats.org/drawingml/2006/wordprocessingDrawing" l="0" t="0" r="9525" b="9525"/>
          <wp:docPr id="2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t xml:space="preserve">       </w:t>
    </w:r>
    <w:r>
      <w:rPr>
        <w:noProof/>
      </w:rPr>
      <w:drawing>
        <wp:inline>
          <wp:extent cx="942975" cy="552450"/>
          <wp:effectExtent xmlns:wp="http://schemas.openxmlformats.org/drawingml/2006/wordprocessingDrawing" l="0" t="0" r="9525" b="0"/>
          <wp:docPr id="3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</w:t>
    </w:r>
    <w:r>
      <w:rPr>
        <w:noProof/>
      </w:rPr>
      <w:drawing>
        <wp:inline>
          <wp:extent cx="838200" cy="409575"/>
          <wp:effectExtent xmlns:wp="http://schemas.openxmlformats.org/drawingml/2006/wordprocessingDrawing" l="0" t="0" r="0" b="9525"/>
          <wp:docPr id="4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</w:t>
    </w:r>
    <w:r>
      <w:rPr>
        <w:noProof/>
      </w:rPr>
      <w:drawing>
        <wp:inline>
          <wp:extent cx="952500" cy="342900"/>
          <wp:effectExtent xmlns:wp="http://schemas.openxmlformats.org/drawingml/2006/wordprocessingDrawing" l="0" t="0" r="0" b="0"/>
          <wp:docPr id="5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Cabealho"/>
      <w:tabs>
        <w:tab w:pos="4252" w:val="center"/>
        <w:tab w:pos="8504" w:val="right"/>
      </w:tabs>
      <w:spacing/>
      <w:jc w:val="right"/>
      <w:rPr/>
    </w:pPr>
    <w:r>
      <w:rPr>
        <w:noProof/>
      </w:rPr>
      <w:drawing>
        <wp:inline>
          <wp:extent cx="2238375" cy="381000"/>
          <wp:effectExtent xmlns:wp="http://schemas.openxmlformats.org/drawingml/2006/wordprocessingDrawing" l="0" t="0" r="9525" b="0"/>
          <wp:docPr id="6" name="" descr="C:\Users\lfavas\AppData\Local\Microsoft\Windows\INetCache\Content.Word\logo_utad_completo_azul.png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pos="4252" w:val="center"/>
        <w:tab w:pos="8504" w:val="right"/>
      </w:tabs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multiLevelType w:val="hybridMultilevel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multiLevelType w:val="hybridMultilevel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multiLevelType w:val="singleLevel"/>
    <w:lvl w:ilvl="0">
      <w:start w:val="0"/>
      <w:numFmt w:val="bullet"/>
      <w:suff w:val="tab"/>
      <w:lvlText w:val="-"/>
      <w:pPr>
        <w:tabs>
          <w:tab w:pos="360" w:val="num"/>
        </w:tabs>
        <w:spacing/>
        <w:ind w:left="360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pPr>
        <w:tabs>
          <w:tab w:pos="720" w:val="num"/>
        </w:tabs>
        <w:spacing/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suff w:val="tab"/>
      <w:lvlText w:val="o"/>
      <w:pPr>
        <w:tabs>
          <w:tab w:pos="1440" w:val="num"/>
        </w:tabs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pos="2160" w:val="num"/>
        </w:tabs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pos="2880" w:val="num"/>
        </w:tabs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tabs>
          <w:tab w:pos="3600" w:val="num"/>
        </w:tabs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pos="4320" w:val="num"/>
        </w:tabs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pos="5040" w:val="num"/>
        </w:tabs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tabs>
          <w:tab w:pos="5760" w:val="num"/>
        </w:tabs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pos="6480" w:val="num"/>
        </w:tabs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multiLevelType w:val="hybridMultilevel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multiLevelType w:val="singleLevel"/>
    <w:lvl w:ilvl="0">
      <w:start w:val="0"/>
      <w:numFmt w:val="bullet"/>
      <w:suff w:val="tab"/>
      <w:lvlText w:val="-"/>
      <w:pPr>
        <w:tabs>
          <w:tab w:pos="360" w:val="num"/>
        </w:tabs>
        <w:spacing/>
        <w:ind w:left="360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pPr>
        <w:tabs>
          <w:tab w:pos="720" w:val="num"/>
        </w:tabs>
        <w:spacing/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tab"/>
      <w:lvlText w:val="o"/>
      <w:pPr>
        <w:tabs>
          <w:tab w:pos="1440" w:val="num"/>
        </w:tabs>
        <w:spacing/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pos="2160" w:val="num"/>
        </w:tabs>
        <w:spacing/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pos="2880" w:val="num"/>
        </w:tabs>
        <w:spacing/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tab"/>
      <w:lvlText w:val="o"/>
      <w:pPr>
        <w:tabs>
          <w:tab w:pos="3600" w:val="num"/>
        </w:tabs>
        <w:spacing/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pos="4320" w:val="num"/>
        </w:tabs>
        <w:spacing/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pos="5040" w:val="num"/>
        </w:tabs>
        <w:spacing/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tab"/>
      <w:lvlText w:val="o"/>
      <w:pPr>
        <w:tabs>
          <w:tab w:pos="5760" w:val="num"/>
        </w:tabs>
        <w:spacing/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pos="6480" w:val="num"/>
        </w:tabs>
        <w:spacing/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proofState w:grammar="clean"/>
  <w:defaultTabStop w:val="720"/>
  <w:characterSpacingControl w:val="doNotCompress"/>
  <w:hyphenationZone w:val="425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embedSystemFonts xmlns:w="http://schemas.openxmlformats.org/wordprocessingml/2006/mai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noPunctuationKerning xmlns:w="http://schemas.openxmlformats.org/wordprocessingml/2006/main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  <w14:docId xmlns:w14="http://schemas.microsoft.com/office/word/2010/wordml" w14:val="768EB6D0"/>
  <w15:chartTrackingRefBased xmlns:w15="http://schemas.microsoft.com/office/word/2012/wordml"/>
  <w15:docId xmlns:w15="http://schemas.microsoft.com/office/word/2012/wordml" w15:val="{4C4CE3F4-4D8E-466F-B4D7-75B8FBA31D63}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zh-CN" w:bidi="ar-S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qFormat/>
    <w:pPr>
      <w:spacing/>
    </w:pPr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spacing/>
      <w:outlineLvl w:val="0"/>
    </w:pPr>
    <w:rPr>
      <w:b/>
      <w:lang w:val="pt-PT"/>
    </w:rPr>
  </w:style>
  <w:style w:type="character" w:styleId="Tipodeletrapredefinidodopargrafo" w:default="1">
    <w:name w:val="Default Paragraph Font"/>
    <w:semiHidden/>
    <w:unhideWhenUsed/>
    <w:rPr/>
  </w:style>
  <w:style w:type="table" w:styleId="Tabelanormal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vanodecorpodetexto">
    <w:name w:val="Body Text Indent"/>
    <w:basedOn w:val="Normal"/>
    <w:pPr>
      <w:spacing w:after="60"/>
      <w:ind w:left="2880" w:hanging="2880"/>
    </w:pPr>
    <w:rPr>
      <w:lang w:val="pt-PT"/>
    </w:rPr>
  </w:style>
  <w:style w:type="paragraph" w:styleId="Ttulo">
    <w:name w:val="Title"/>
    <w:basedOn w:val="Normal"/>
    <w:qFormat/>
    <w:pPr>
      <w:spacing/>
      <w:jc w:val="center"/>
    </w:pPr>
    <w:rPr>
      <w:sz w:val="40"/>
      <w:lang w:val="pt-PT"/>
    </w:rPr>
  </w:style>
  <w:style w:type="paragraph" w:styleId="Corpodetexto">
    <w:name w:val="Body Tex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60"/>
    </w:pPr>
    <w:rPr>
      <w:lang w:val="pt-PT"/>
    </w:rPr>
  </w:style>
  <w:style w:type="paragraph" w:styleId="Subttulo">
    <w:name w:val="Subtitle"/>
    <w:basedOn w:val="Normal"/>
    <w:link w:val="SubtítuloCaráter"/>
    <w:next w:val="Normal"/>
    <w:qFormat/>
    <w:pPr>
      <w:spacing/>
      <w:jc w:val="center"/>
    </w:pPr>
    <w:rPr>
      <w:b/>
      <w:sz w:val="32"/>
      <w:lang w:val="pt-PT"/>
    </w:rPr>
  </w:style>
  <w:style w:type="paragraph" w:styleId="Cabealho">
    <w:name w:val="Header"/>
    <w:basedOn w:val="Normal"/>
    <w:next w:val="Normal"/>
    <w:pPr>
      <w:tabs>
        <w:tab w:pos="4252" w:val="center"/>
        <w:tab w:pos="8504" w:val="right"/>
      </w:tabs>
      <w:spacing/>
    </w:pPr>
    <w:rPr/>
  </w:style>
  <w:style w:type="paragraph" w:styleId="Rodap">
    <w:name w:val="Footer"/>
    <w:basedOn w:val="Normal"/>
    <w:next w:val="Normal"/>
    <w:pPr>
      <w:tabs>
        <w:tab w:pos="4252" w:val="center"/>
        <w:tab w:pos="8504" w:val="right"/>
      </w:tabs>
      <w:spacing/>
    </w:pPr>
    <w:rPr/>
  </w:style>
  <w:style w:type="character" w:styleId="Hiperligao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/>
      <w:jc w:val="both"/>
    </w:pPr>
    <w:rPr>
      <w:lang w:val="pt-PT"/>
    </w:rPr>
  </w:style>
  <w:style w:type="paragraph" w:styleId="Textodebalo">
    <w:name w:val="Balloon Text"/>
    <w:basedOn w:val="Normal"/>
    <w:semiHidden/>
    <w:pPr>
      <w:spacing/>
    </w:pPr>
    <w:rPr>
      <w:rFonts w:ascii="Tahoma" w:eastAsia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éCaráter"/>
    <w:semiHidden/>
    <w:pPr>
      <w:spacing/>
    </w:pPr>
    <w:rPr>
      <w:rFonts w:ascii="Calibri" w:eastAsia="Calibri" w:hAnsi="Calibri" w:cs="Calibri"/>
      <w:sz w:val="20"/>
      <w:szCs w:val="20"/>
      <w:lang w:val="pt-PT"/>
    </w:rPr>
  </w:style>
  <w:style w:type="character" w:styleId="TextodenotaderodapCarter" w:customStyle="1">
    <w:name w:val="Texto de nota de rodapé Caráter"/>
    <w:link w:val="FootnoteText"/>
    <w:semiHidden/>
    <w:rPr>
      <w:rFonts w:ascii="Calibri" w:eastAsia="Calibri" w:hAnsi="Calibri" w:cs="Calibri"/>
      <w:lang w:val="pt-PT" w:eastAsia="en-US" w:bidi="ar-SA"/>
    </w:rPr>
  </w:style>
  <w:style w:type="character" w:styleId="Refdenotaderodap">
    <w:name w:val="Footnote Reference"/>
    <w:semiHidden/>
    <w:rPr>
      <w:rFonts w:cs="Times New Roman"/>
      <w:vertAlign w:val="superscript"/>
    </w:rPr>
  </w:style>
  <w:style w:type="character" w:styleId="SubttuloCarter" w:customStyle="1">
    <w:name w:val="Subtítulo Caráter"/>
    <w:link w:val="Subtitle"/>
    <w:rPr>
      <w:b/>
      <w:sz w:val="32"/>
      <w:szCs w:val="24"/>
      <w:lang w:eastAsia="en-US"/>
    </w:rPr>
  </w:style>
  <w:style w:type="paragraph" w:styleId="PargrafodaLista">
    <w:name w:val="List Paragraph"/>
    <w:basedOn w:val="Normal"/>
    <w:next w:val="ListParagraph"/>
    <w:qFormat/>
    <w:pPr>
      <w:spacing/>
      <w:ind w:left="720"/>
      <w:contextualSpacing/>
    </w:pPr>
    <w:rPr/>
  </w:style>
  <w:style w:type="character" w:styleId="Hiperligaovisitada">
    <w:name w:val="FollowedHyperlink"/>
    <w:basedOn w:val="Tipodeletrapredefinidodopargrafo"/>
    <w:rPr>
      <w:color w:val="954F72"/>
      <w:u w:val="single"/>
    </w:rPr>
  </w:style>
  <w:style w:type="character" w:styleId="Forte">
    <w:name w:val="Strong"/>
    <w:basedOn w:val="Tipodeletrapredefinidodopargrafo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18" Type="http://schemas.openxmlformats.org/officeDocument/2006/relationships/styles" Target="styles.xml" /><Relationship Id="rId19" Type="http://schemas.openxmlformats.org/officeDocument/2006/relationships/settings" Target="settings.xml" /><Relationship Id="rId20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21" Type="http://schemas.openxmlformats.org/officeDocument/2006/relationships/fontTable" Target="fontTable.xml" /><Relationship Id="rId22" Type="http://schemas.openxmlformats.org/officeDocument/2006/relationships/theme" Target="theme/theme1.xml" /><Relationship Id="rId1" Type="http://schemas.openxmlformats.org/officeDocument/2006/relationships/hyperlink" Target="https://www.fct.pt/apoios/bolsas/valores" TargetMode="External" /><Relationship Id="rId2" Type="http://schemas.openxmlformats.org/officeDocument/2006/relationships/hyperlink" Target="http://www.campus.utad.pt" TargetMode="External" /><Relationship Id="rId3" Type="http://schemas.openxmlformats.org/officeDocument/2006/relationships/hyperlink" Target="http://www.campus.utad.pt/bolsasinvestigacao/lista" TargetMode="External" /></Relationships>
</file>

<file path=word/_rels/fontTable.xml.rels>&#65279;<?xml version="1.0" encoding="utf-8" standalone="yes"?><Relationships xmlns="http://schemas.openxmlformats.org/package/2006/relationships" />
</file>

<file path=word/_rels/foot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7.jpeg" /><Relationship Id="rId9" Type="http://schemas.openxmlformats.org/officeDocument/2006/relationships/image" Target="media/image9.jpeg" /><Relationship Id="rId11" Type="http://schemas.openxmlformats.org/officeDocument/2006/relationships/image" Target="media/image11.jpeg" /><Relationship Id="rId13" Type="http://schemas.openxmlformats.org/officeDocument/2006/relationships/image" Target="media/image13.jpeg" /><Relationship Id="rId15" Type="http://schemas.openxmlformats.org/officeDocument/2006/relationships/image" Target="media/image15.jpeg" /></Relationships>
</file>

<file path=word/_rels/header4.xml.rels>&#65279;<?xml version="1.0" encoding="utf-8" standalone="yes"?><Relationships xmlns="http://schemas.openxmlformats.org/package/2006/relationships"><Relationship Id="rId17" Type="http://schemas.openxmlformats.org/officeDocument/2006/relationships/image" Target="media/image17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xmlns:a="http://schemas.openxmlformats.org/drawingml/2006/main"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3</Pages>
  <Words>687</Words>
  <Characters>3712</Characters>
  <CharactersWithSpaces>4391</CharactersWithSpaces>
  <Application>Microsoft Office Word</Application>
  <DocSecurity>0</DocSecurity>
  <Lines>30</Lines>
  <Paragraphs>8</Paragraphs>
  <Manager>Sara Alves Dias</Manager>
  <Company>Universidade de Trás-os-Montes e Alto Douro</Compan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Atribuição de Bolsa para Investigação</dc:title>
  <dc:subject/>
  <dc:creator>Campus UTAD</dc:creator>
  <cp:keywords/>
  <cp:lastModifiedBy>João Carlos Tomé Dias</cp:lastModifiedBy>
  <cp:lastPrinted>2011-05-05T09:43:00Z</cp:lastPrinted>
  <cp:revision>4</cp:revision>
  <dcterms:created xsi:type="dcterms:W3CDTF">2019-03-20T17:33:00Z</dcterms:created>
  <dcterms:modified xsi:type="dcterms:W3CDTF">2022-02-21T14:52:00Z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xd_Signature" pid="2">
    <vt:lpstr/>
  </property>
  <property fmtid="{D5CDD505-2E9C-101B-9397-08002B2CF9AE}" name="TemplateUrl" pid="3">
    <vt:lpstr/>
  </property>
  <property fmtid="{D5CDD505-2E9C-101B-9397-08002B2CF9AE}" name="xd_ProgID" pid="4">
    <vt:lpstr/>
  </property>
  <property fmtid="{D5CDD505-2E9C-101B-9397-08002B2CF9AE}" name="Order" pid="5">
    <vt:lpstr>47000.0000000000</vt:lpstr>
  </property>
  <property fmtid="{D5CDD505-2E9C-101B-9397-08002B2CF9AE}" name="_SourceUrl" pid="6">
    <vt:lpstr/>
  </property>
  <property fmtid="{D5CDD505-2E9C-101B-9397-08002B2CF9AE}" name="_SharedFileIndex" pid="7">
    <vt:lpstr/>
  </property>
  <property fmtid="{D5CDD505-2E9C-101B-9397-08002B2CF9AE}" name="_dlc_DocId" pid="8">
    <vt:lpstr>3SKTU6TMYEHH-1598-470</vt:lpstr>
  </property>
  <property fmtid="{D5CDD505-2E9C-101B-9397-08002B2CF9AE}" name="_dlc_DocIdItemGuid" pid="9">
    <vt:lpstr>032b757c-23ba-4bef-8115-d3aea944411e</vt:lpstr>
  </property>
  <property fmtid="{D5CDD505-2E9C-101B-9397-08002B2CF9AE}" name="_dlc_DocIdUrl" pid="10">
    <vt:lpstr>http:_x002F__x002F_utadweb_x002F_vPT_x002F_Area2_x002F_autad_x002F_reitoria_x002F__layouts_x002F_DocIdRedir.aspx_x003F_ID_x003D_3SKTU6TMYEHH-1598-470_x002C_ 3SKTU6TMYEHH-1598-470</vt:lpstr>
  </property>
</Properties>
</file>