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(estudantes inscritos num mestrado integrado, mestrado, doutoramento ou em curso não conferente de grau académico, Artigo 6º, Regulamento n.º 950/2019 da FCT).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BI/UTAD/17/2024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(estudantes inscritos num mestrado integrado, mestrado, doutoramento ou em curso não conferente de grau académico, Artigo 6º, Regulamento n.º 950/2019 da FCT).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SMARTWINE 2.0 - Desenvolvimento de Leveduras starter para a produção de vinhos estilísticos sustentavelmente preservados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BI/UTAD/17/2024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Projeto financiado por fundos nacionais através da FCT – Fundação para a Ciência e a Tecnologia, I.P., no âmbito do projeto 2022.06777.PTDC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Ciências Biológicas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Grau de Mestre nas áreas de Ciências Biológicas*;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Experiência comprovada em técnicas de microbiologia e biologia molecular*;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3.º - Evidência de experiência na manipulação e em estudos de fisiologia de leveduras vínicas*;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4.º - Domínio do inglês falado e escrito;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5.º - Em cumprimento do disposto no artigo 6.º do Regulamento de Bolsas de Investigação da FCT (Reg. n.º 950/2019), estar inscrito em curso não conferente de grau académico integrado no projeto educativo de uma instituição de ensino superior, desenvolvido em associação ou cooperação com uma ou várias unidades de I&amp;D (neste caso a bolsa terá a duração máxima de 12 meses) ou estar inscrito num doutoramento (à data da assinatura do contrato de bolsa);;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6.º - Com base na lista de seriação final será constituída uma lista de reserva, a qual será utilizada para a eventual contratação de novos bolseiros no âmbito do presente projeto ou no caso de desistência do/a candidato/a classificado/a em primeiro lugar. Na eventualidade de nenhum /a dos/as candidatos/as demonstrar possuir o perfil indicado para a realização do plano de trabalhos o júri reserva-se o direito de não atribuir a bolsa a concurso.;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candidato irá desenvolver trabalho no âmbito da Tarefa 4 do projeto SMARTWINE2.0, nomeadamente - Whole genome sequencing and transcriptome analysis of non-Saccharomyces yeasts (NSYs) with antagonistic activity;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Universidade de Trás-os-Montes e Alto Douro - WM&amp;B_Lab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6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Abril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12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€1259,64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curricular. Caso seja considerado de interesse pelo júri poderão ser realizada entrevistas individuais cuja valoração será contemplada no parâmetro de avaliação curricular do candidato e Experiência em áreas de conhecimento relacionadas com as atividades do projeto: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50% e 50%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ANA ALEXANDRA MENDES FERREIRA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Nuno Gonçalo Pereira Mira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PATRICIA PINHEIRO LAGE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19-03-2024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01-04-2024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Declaração sob compromisso de honra preenchido (que se encontra disponível na página de candidaturas) e Carta de Motivação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