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pós-doutoral (titulares do grau de doutor, Artigo 7º,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BIPD/UTAD/5/2024</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pós-doutoral (titulares do grau de doutor, Artigo 7º,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C-MADE-CENTRO DE MATERIAIS E TECNOLOGIAS CONSTRUTIVAS- FP</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BIPD/UTAD/5/2024</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Financiado por fundos nacionais através da FCT - Fundação para a Ciência e a Tecnologia, I.P., no âmbito do projeto Projeto UIDB/04082/2020</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Engenharia</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Doutoramento em Engenharia Civil ou áreas afins*;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Domínio das línguas inglesa e portuguesa*;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Carta de recomendação*;</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Preparação de candidaturas de projetos de investigação;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Realização de trabalho experimental / campo;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Redação de artigos científicos;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UTAD</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3</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Outubro</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2024</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17395F">
        <w:rPr>
          <w:rFonts w:ascii="Arial" w:hAnsi="Arial" w:cs="Arial"/>
          <w:sz w:val="20"/>
          <w:szCs w:val="20"/>
          <w:lang w:val="pt-PT"/>
        </w:rPr>
        <w:t xml:space="preserve">O contrato de bolsa poderá ser renovado, sendo que a duração total não poderá exceder os 12 meses.</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€1801</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Carta de Motivação, Análise Curricular e Entrevista</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10%, 35% e 55%</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SANDRA CRISTINA ALVES PEREIRA DA SILVA CUNHA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JORGE TIAGO QUEIROS DA SILVA PINTO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ISABEL MARIA DA ASSUNÇÃO DE MARTA OLIVEIRA BENTES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Nota Final</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16-09-2024</w:t>
      </w:r>
      <w:r>
        <w:rPr>
          <w:rFonts w:ascii="Arial" w:hAnsi="Arial" w:cs="Arial"/>
          <w:sz w:val="20"/>
          <w:szCs w:val="20"/>
          <w:lang w:val="pt-PT"/>
        </w:rPr>
        <w:t xml:space="preserve"> a </w:t>
      </w:r>
      <w:r w:rsidR="00B8608D">
        <w:rPr>
          <w:rFonts w:ascii="Arial" w:hAnsi="Arial" w:cs="Arial"/>
          <w:sz w:val="20"/>
          <w:szCs w:val="20"/>
          <w:lang w:val="pt-PT"/>
        </w:rPr>
        <w:t xml:space="preserve">27-09-2024</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0002"/>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0003"/>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0004"/>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0005"/>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0006"/>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0001"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