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BI/UTAD/25/2025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STEMPACK-Engaço de uva: um novo recurso para embalagens ativas e sustentáveis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BI/UTAD/25/2025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Financiado por fundos nacionais através da Fundação para a Ciência e a Tecnologia (FCT), pelo projeto Engaço de uva: um novo recurso para embalagens ativas e sustentáveis com a referência 2023.12200.PEX</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Mestrado em Engenharia Alimentar*;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Conhecimento e experiência prévia no desenvolvimento e aplicação de embalagens biodegradáveis para aplicação em carne fresca;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prévia em métodos de análise de carne fresca, nomeadamente parâmetros fisico-quimicos, sensoriais e microbiológicos;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prévia em métodos de caracterização de embalagens biodegradáveis tais como propriedades antioxidantes, antimicrobianas, características mecânicas, propriedades fisico-quimicos e morfológicas;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Publicações na área do plano de trabalhos a desenvolver pelo candidato*;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Domínio da língua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7.º - Candidatos inscritos ou que cumpram os requisitos para se virem a inscrever num curso de 3º ciclo ou num curso não conferente de grau académico, em conformidade com o Regulamento de Bolsas de Investigação da FCT, RBI nº 950/2019*;</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 plano de trabalhos contempla as seguintes tarefas:  (i)</w:t>
        <w:tab/>
        <w:t xml:space="preserve">Extrair compostos fenólicos e celulose dos engaços (ii)</w:t>
        <w:tab/>
        <w:t xml:space="preserve">Desenvolver almofadas absorventes com biopolímeros e compostos fenólicos (iii)</w:t>
        <w:tab/>
        <w:t xml:space="preserve">Avaliar bioatividade (antioxidante/antibacteriana) e migração dos compostos nos absorventes  (iv)</w:t>
        <w:tab/>
        <w:t xml:space="preserve">Caracterizar propriedades físico-químicas das almofadas biodegradáveis v) Escrever relatórios e artigos científicos.;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UTAD</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12</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Junho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Curriculum académico relevante para a área de trabalho do projeto, Carta de motivação, Experiência de investigação nas áreas definidas e Experiência de investigação nas técnicas definidas</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50%, 20%, 15% e 15%</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IRENE PEREIRA GOUVINHAS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Juliana Cristina Venera Garcia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CRISTINA MARIA TEIXEIRA SARAIVA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Alfabeticamente</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12-05-2025</w:t>
      </w:r>
      <w:r>
        <w:rPr>
          <w:rFonts w:ascii="Arial" w:eastAsia="Arial" w:hAnsi="Arial" w:cs="Arial"/>
          <w:sz w:val="20"/>
          <w:szCs w:val="20"/>
          <w:lang w:val="pt-PT"/>
        </w:rPr>
        <w:t xml:space="preserve"> a </w:t>
      </w:r>
      <w:r>
        <w:rPr>
          <w:rFonts w:ascii="Arial" w:eastAsia="Arial" w:hAnsi="Arial" w:cs="Arial"/>
          <w:sz w:val="20"/>
          <w:szCs w:val="20"/>
          <w:lang w:val="pt-PT"/>
        </w:rPr>
        <w:t xml:space="preserve">23-05-2025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Carta de motivação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