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BI/UTAD/58/2025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BI/UTAD/58/2025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Planeamento e dimensionamento da infraestrutura V2X, incluído a análise da localização da rodovia piloto, planeamento da distribuição de RSUs (Road Side Units), sensores ambientais e integração com semáforos e painéis de mensagem variável.;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Desenvolvimento da plataforma de comunicação e gestão de dados, composta por um sistema central que recolhe dados dos RSUs, aplica algoritmos de previsão de tráfego e dissemina mensagens cooperativas (CAM, DENM) aos veículos.;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Implementação de serviços inteligentes para motociclos, incluindo a definição e teste de serviços específicos, como aviso de prioridade dinâmica em cruzamentos, deteção de derrapagens por óleo/água e emissão de alertas contextuais (ex: curva apertada com pavimento molhado).;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Integração com o motociclo V2M do ecossistema A-Mover para validar a interoperabilidade e testar cenários cooperativos entre motociclos e a infraestrutura.;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Monitorização e avaliação contínua da infraestrutura através de dashboards de monitorização, recolha de dados operacionais, métricas de desempenho (latência, fiabilidade da comunicação) e proposta de melhorias para futura escalabilidade.;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artigos científicos para disseminação dos resultados do trabalho desenvolvido.;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ANTÓNIO MANUEL MIGUEL SILVA MARQUES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