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de requisitos funcionais e não funcionais, e.g., levantamento de requisitos junto dos stakeholders (fabricantes, oficinas, utilizadores) e definição de especificações técnicas para cada etapa do ciclo de vida do veículo.;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Modelação do ciclo de vida do veículo elétrico, incluindo: desenho de um modelo digital do ciclo de vida, desde a produção até ao desmantelamento; e identificação dos eventos críticos a monitorizar (ex: substituição de bateria, revisões).;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arquitetura do sistema, considerando a definição da arquitetura modular baseada em microserviços e a integração com tecnologias como IoT, blockchain e plataformas de cloud computing.;</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de módulos funcionais e respetivas aplicações de utilização. Entre os módulos principais inclui-se o registo e rastreabilidade da produção, a manutenção inteligente com alertas preditivos, e a gestão de acesso a serviços eletrónicos do ecossistema A-Mover.;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testes e validação em ambiente de laboratório e real.;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JORGE GONÇALVES DE GOUVEIA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