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de requisitos e arquiteturas de referência, com foco na análise dos requisitos funcionais e não funcionais da unidade de controlo para motociclos elétricos e nas arquiteturas de referência para ECUs de veículos de duas rodas e conectividade V2X.;</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Desenho da arquitetura modular da CSVU, incluindo interfaces com sensores, baterias, sistemas de segurança, e sistemas de comunicação (CAN, Bluetooth, 4G/5G, etc.).;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Integração com serviços cloud do ecossistema A-MoVeR.;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protótipos e software implementação de funcionalidades essenciais: leitura de sensores, controlo de atuadores, comunicação com a cloud e com a interface de utilizador.;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Ensaios de laboratório e validação em ambiente real. Nomeadamente, a integração do protótipo em motociclos AJP e realização de testes funcionais, de robustez e de cibersegurança; e a avaliação da comunicação com outras partes do ecossistema (app móvel, digital twin, infraestrutura).;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publicações científicas e apresentações em conferências sobre veículos inteligentes, IoT automóvel e sistemas ciberfísicos.;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FILIPE LEITE BARBOSA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