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BI/UTAD/62/2025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BI/UTAD/62/2025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Mestrado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Cumprimento do Regulamento de Bolsas de Investigação, nomeadamente no que se refere à inscrição obrigatória em curso de formação conferente a grau (3º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Rever o estado da arte sobre agentes inteligentes baseados em LLMs e frameworks de product design automatizado;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Desenvolver uma arquitetura multiagente baseada em LLMs, com papéis especializados (ex.: agente de conceção, engenheiro especialista, analista de mercado, avaliador de viabilidade);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Implementar um protótipo funcional, que permita criar e avaliar produtos simples (ex.: apps móveis, IoT para motociclos ou serviços digitais);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Integrar ferramentas de design assistido (CAD, Figma, etc.) e APIs de simulação ou validação como parte da atuação dos agentes;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Avaliar o desempenho e criatividade dos agentes, comparando com equipas humanas ou outros benchmarks existentes;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EDUARDO JOSÉ SOLTEIRO PIRES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