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eg" ContentType="image/jpeg"/>
  <Default Extension="wmf" ContentType="image/x-wmf"/>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xml" ContentType="application/vnd.openxmlformats-officedocument.wordprocessingml.footer+xml"/>
  <Override PartName="/word/header4.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openxmlformats.org/drawingml/2006/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10/wordprocessingInk" xmlns:wps="http://schemas.microsoft.com/office/word/2010/wordprocessingShape" mc:Ignorable="w14 wp14">
  <w:body>
    <w:p>
      <w:pPr>
        <w:pStyle w:val="Subttulo"/>
        <w:spacing w:line="360" w:lineRule="auto"/>
        <w:rPr>
          <w:rFonts w:ascii="Arial" w:eastAsia="Arial" w:hAnsi="Arial" w:cs="Arial"/>
          <w:sz w:val="24"/>
          <w:szCs w:val="28"/>
        </w:rPr>
      </w:pPr>
      <w:r>
        <w:rPr>
          <w:rFonts w:ascii="Arial" w:eastAsia="Arial" w:hAnsi="Arial" w:cs="Arial"/>
          <w:sz w:val="24"/>
          <w:szCs w:val="28"/>
        </w:rPr>
        <w:t xml:space="preserve">Bolsas de investigação (estudantes inscritos num mestrado integrado, mestrado, doutoramento ou em curso não conferente de grau académico, Artigo 6º, Regulamento n.º 950/2019 da FCT).</w:t>
      </w:r>
    </w:p>
    <w:p>
      <w:pPr>
        <w:pStyle w:val="Subttulo"/>
        <w:spacing w:line="360" w:lineRule="auto"/>
        <w:rPr>
          <w:rFonts w:ascii="Arial" w:eastAsia="Arial" w:hAnsi="Arial" w:cs="Arial"/>
          <w:b w:val="0"/>
          <w:i/>
          <w:color w:val="0070C0"/>
          <w:sz w:val="20"/>
          <w:szCs w:val="20"/>
        </w:rPr>
      </w:pPr>
      <w:r>
        <w:rPr>
          <w:rFonts w:ascii="Arial" w:eastAsia="Arial" w:hAnsi="Arial" w:cs="Arial"/>
          <w:sz w:val="24"/>
          <w:szCs w:val="28"/>
        </w:rPr>
        <w:t xml:space="preserve">(</w:t>
      </w:r>
      <w:r>
        <w:rPr>
          <w:rFonts w:ascii="Arial" w:eastAsia="Arial" w:hAnsi="Arial" w:cs="Arial"/>
          <w:sz w:val="24"/>
          <w:szCs w:val="28"/>
        </w:rPr>
        <w:t xml:space="preserve">1 vaga</w:t>
      </w:r>
      <w:r>
        <w:rPr>
          <w:rFonts w:ascii="Arial" w:eastAsia="Arial" w:hAnsi="Arial" w:cs="Arial"/>
          <w:sz w:val="24"/>
          <w:szCs w:val="28"/>
        </w:rPr>
        <w:t xml:space="preserve">)</w:t>
      </w:r>
    </w:p>
    <w:p>
      <w:pPr>
        <w:pStyle w:val="Subttulo"/>
        <w:spacing w:line="360" w:lineRule="auto"/>
        <w:rPr>
          <w:rFonts w:ascii="Arial" w:eastAsia="Arial" w:hAnsi="Arial" w:cs="Arial"/>
          <w:sz w:val="24"/>
          <w:szCs w:val="28"/>
        </w:rPr>
      </w:pPr>
    </w:p>
    <w:p>
      <w:pPr>
        <w:pStyle w:val="Subttulo"/>
        <w:spacing w:line="360" w:lineRule="auto"/>
        <w:rPr>
          <w:rFonts w:ascii="Arial" w:eastAsia="Arial" w:hAnsi="Arial" w:cs="Arial"/>
          <w:sz w:val="24"/>
          <w:szCs w:val="28"/>
        </w:rPr>
      </w:pPr>
    </w:p>
    <w:p>
      <w:pPr>
        <w:pStyle w:val="Subttulo"/>
        <w:spacing w:line="360" w:lineRule="auto"/>
        <w:jc w:val="left"/>
        <w:rPr>
          <w:rFonts w:ascii="Arial" w:eastAsia="Arial" w:hAnsi="Arial" w:cs="Arial"/>
          <w:color w:val="0070C0"/>
          <w:sz w:val="20"/>
          <w:szCs w:val="20"/>
        </w:rPr>
      </w:pPr>
      <w:r>
        <w:rPr>
          <w:rFonts w:ascii="Arial" w:eastAsia="Arial" w:hAnsi="Arial" w:cs="Arial"/>
          <w:sz w:val="20"/>
          <w:szCs w:val="20"/>
        </w:rPr>
        <w:t xml:space="preserve">REFERÊNCIA: </w:t>
      </w:r>
      <w:r>
        <w:rPr>
          <w:rFonts w:ascii="Arial" w:eastAsia="Arial" w:hAnsi="Arial" w:cs="Arial"/>
          <w:sz w:val="20"/>
          <w:szCs w:val="20"/>
        </w:rPr>
        <w:t xml:space="preserve">BI/UTAD/55/2026</w:t>
      </w:r>
    </w:p>
    <w:p>
      <w:pPr>
        <w:pStyle w:val="Subttulo"/>
        <w:spacing w:line="360" w:lineRule="auto"/>
        <w:rPr/>
      </w:pPr>
    </w:p>
    <w:p>
      <w:pPr>
        <w:spacing w:line="360" w:lineRule="auto"/>
        <w:jc w:val="both"/>
        <w:rPr>
          <w:rFonts w:ascii="Arial" w:eastAsia="Arial" w:hAnsi="Arial" w:cs="Arial"/>
          <w:i/>
          <w:sz w:val="20"/>
          <w:szCs w:val="20"/>
          <w:lang w:val="pt-PT"/>
        </w:rPr>
      </w:pPr>
      <w:r>
        <w:rPr>
          <w:rFonts w:ascii="Arial" w:eastAsia="Arial" w:hAnsi="Arial" w:cs="Arial"/>
          <w:sz w:val="20"/>
          <w:szCs w:val="20"/>
          <w:lang w:val="pt-PT"/>
        </w:rPr>
        <w:t xml:space="preserve">Encontra-se aberto concurso para a </w:t>
      </w:r>
      <w:r>
        <w:rPr>
          <w:rFonts w:ascii="Arial" w:eastAsia="Arial" w:hAnsi="Arial" w:cs="Arial"/>
          <w:sz w:val="20"/>
          <w:szCs w:val="20"/>
          <w:lang w:val="pt-PT"/>
        </w:rPr>
        <w:t xml:space="preserve">atribuição de 1</w:t>
      </w:r>
      <w:r>
        <w:rPr>
          <w:rFonts w:ascii="Arial" w:eastAsia="Arial" w:hAnsi="Arial" w:cs="Arial"/>
          <w:sz w:val="20"/>
          <w:szCs w:val="20"/>
          <w:lang w:val="pt-PT"/>
        </w:rPr>
        <w:t xml:space="preserve"> </w:t>
      </w:r>
      <w:r>
        <w:rPr>
          <w:rFonts w:ascii="Arial" w:eastAsia="Arial" w:hAnsi="Arial" w:cs="Arial"/>
          <w:sz w:val="20"/>
          <w:szCs w:val="20"/>
          <w:lang w:val="pt-PT"/>
        </w:rPr>
        <w:t xml:space="preserve">Bolsas de investigação (estudantes inscritos num mestrado integrado, mestrado, doutoramento ou em curso não conferente de grau académico, Artigo 6º, Regulamento n.º 950/2019 da FCT).</w:t>
      </w:r>
      <w:r>
        <w:rPr>
          <w:rFonts w:ascii="Arial" w:eastAsia="Arial" w:hAnsi="Arial" w:cs="Arial"/>
          <w:sz w:val="20"/>
          <w:szCs w:val="20"/>
          <w:lang w:val="pt-PT"/>
        </w:rPr>
        <w:t xml:space="preserve"> no âmbito do projeto/instituição de I&amp;D</w:t>
      </w:r>
      <w:r>
        <w:rPr>
          <w:rFonts w:ascii="Arial" w:eastAsia="Arial" w:hAnsi="Arial" w:cs="Arial"/>
          <w:sz w:val="20"/>
          <w:szCs w:val="20"/>
          <w:lang w:val="pt-PT"/>
        </w:rPr>
        <w:t xml:space="preserve"> GrapeUP - Grapes By-ProdUcts High-Value UPcycling</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BI/UTAD/55/2026</w:t>
      </w:r>
      <w:r>
        <w:rPr>
          <w:rFonts w:ascii="Arial" w:eastAsia="Arial" w:hAnsi="Arial" w:cs="Arial"/>
          <w:sz w:val="20"/>
          <w:szCs w:val="20"/>
          <w:lang w:val="pt-PT"/>
        </w:rPr>
        <w:t xml:space="preserve">,</w:t>
      </w:r>
      <w:r>
        <w:rPr>
          <w:rFonts w:ascii="Arial" w:eastAsia="Arial" w:hAnsi="Arial" w:cs="Arial"/>
          <w:sz w:val="20"/>
          <w:szCs w:val="20"/>
          <w:lang w:val="pt-PT"/>
        </w:rPr>
        <w:t xml:space="preserve"> financiado por </w:t>
      </w:r>
      <w:r>
        <w:rPr>
          <w:rFonts w:ascii="Arial" w:eastAsia="Arial" w:hAnsi="Arial" w:cs="Arial"/>
          <w:sz w:val="20"/>
          <w:szCs w:val="20"/>
          <w:lang w:val="pt-PT"/>
        </w:rPr>
        <w:t xml:space="preserve">Cofinanciado pelo Fundo Europeu de Desenvolvimento Regional (FEDER), através de Incentivos à Investigação e Desenvolvimento, no âmbito do Programa Inovação e Transição Digital (COMPETE 2030).</w:t>
      </w:r>
      <w:r>
        <w:rPr>
          <w:rFonts w:ascii="Arial" w:eastAsia="Arial" w:hAnsi="Arial" w:cs="Arial"/>
          <w:sz w:val="20"/>
          <w:szCs w:val="20"/>
          <w:lang w:val="pt-PT"/>
        </w:rPr>
        <w:t xml:space="preserve">, nas </w:t>
      </w:r>
      <w:r>
        <w:rPr>
          <w:rFonts w:ascii="Arial" w:eastAsia="Arial" w:hAnsi="Arial" w:cs="Arial"/>
          <w:sz w:val="20"/>
          <w:szCs w:val="20"/>
          <w:lang w:val="pt-PT"/>
        </w:rPr>
        <w:t xml:space="preserve">seguintes condições:</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Área Científica</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Química</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sz w:val="20"/>
          <w:szCs w:val="20"/>
          <w:lang w:val="pt-PT"/>
        </w:rPr>
      </w:pPr>
      <w:r>
        <w:rPr>
          <w:rFonts w:ascii="Arial" w:eastAsia="Arial" w:hAnsi="Arial" w:cs="Arial"/>
          <w:b/>
          <w:sz w:val="20"/>
          <w:szCs w:val="20"/>
          <w:lang w:val="pt-PT"/>
        </w:rPr>
        <w:t xml:space="preserve">Requisitos de admissã</w:t>
      </w:r>
      <w:r>
        <w:rPr>
          <w:rFonts w:ascii="Arial" w:eastAsia="Arial" w:hAnsi="Arial" w:cs="Arial"/>
          <w:b/>
          <w:sz w:val="20"/>
          <w:szCs w:val="20"/>
          <w:lang w:val="pt-PT"/>
        </w:rPr>
        <w:t xml:space="preserve">o:</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1.º - Proficiente em língua portuguesa*;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2.º - Mestre em Engenharia Alimentar, Química, Bioquímica e áreas afins*;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3.º - Candidato inscrito ou que cumpra os requisitos para se vir a inscrever num curso de 3º ciclo, ou num curso não conferente a grau, em conformidade com o Regulamento de Bolsas de Investigação da FCT, Regulamento nº 950/2019*;</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16"/>
          <w:szCs w:val="20"/>
          <w:lang w:val="pt-PT"/>
        </w:rPr>
      </w:pPr>
      <w:r>
        <w:rPr>
          <w:rFonts w:ascii="Arial" w:eastAsia="Arial" w:hAnsi="Arial" w:cs="Arial"/>
          <w:sz w:val="16"/>
          <w:szCs w:val="20"/>
          <w:lang w:val="pt-PT"/>
        </w:rPr>
        <w:t xml:space="preserve">* fator eliminatório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Plano de trabalhos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Recolha de excedentes de uvas e bagaços de diferentes castas em pelo menos dois terroirs distintos por casta. O trabalho incluirá a realização de análises laboratoriais para avaliar a maturação tecnológica (grau Brix, pH, acidez) e caracterização fenólica das uvas e dos bagaços recorrendo a diversa técnicas cromatográficas.;</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Legislação e regulamentação aplicável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Lei Nº. 40/2004, de 18 de Agosto (Estatuto do Bolseiro de Investigação Científica); Regulamento de Bolsas de Investigação da FCT, I. P., aprovado pelo Regulamento nº 234/2012, publicado na II Série do Diário da República de 25 de junho de 2012, alterado e republicado pelo Regulamento nº 326/2013, publicado na II Série do Diário da República de 27 de julho de 2013</w:t>
      </w:r>
      <w:r>
        <w:rPr>
          <w:rFonts w:ascii="Arial" w:eastAsia="Arial" w:hAnsi="Arial" w:cs="Arial"/>
          <w:sz w:val="20"/>
          <w:szCs w:val="20"/>
          <w:lang w:val="pt-PT"/>
        </w:rPr>
        <w:t xml:space="preserve">,</w:t>
      </w:r>
      <w:r>
        <w:rPr>
          <w:rFonts w:ascii="Arial" w:eastAsia="Arial" w:hAnsi="Arial" w:cs="Arial"/>
          <w:sz w:val="20"/>
          <w:szCs w:val="20"/>
          <w:lang w:val="pt-PT"/>
        </w:rPr>
        <w:t xml:space="preserve"> alterado pelo Regulamento nº 339/2015, publicado na II Série do Diário da República de 17 de junho de 2015</w:t>
      </w:r>
      <w:r>
        <w:rPr>
          <w:rFonts w:ascii="Arial" w:eastAsia="Arial" w:hAnsi="Arial" w:cs="Arial"/>
          <w:sz w:val="20"/>
          <w:szCs w:val="20"/>
          <w:lang w:val="pt-PT"/>
        </w:rPr>
        <w:t xml:space="preserve"> </w:t>
      </w:r>
      <w:r>
        <w:rPr>
          <w:rFonts w:ascii="Arial" w:eastAsia="Arial" w:hAnsi="Arial" w:cs="Arial"/>
          <w:sz w:val="20"/>
          <w:szCs w:val="20"/>
          <w:lang w:val="pt-PT"/>
        </w:rPr>
        <w:t xml:space="preserve">e Lei n.º71/2018 (Lei do Orçamento do Estado para 2019)</w:t>
      </w:r>
      <w:r>
        <w:rPr>
          <w:rFonts w:ascii="Arial" w:eastAsia="Arial" w:hAnsi="Arial" w:cs="Arial"/>
          <w:sz w:val="20"/>
          <w:szCs w:val="20"/>
          <w:lang w:val="pt-PT"/>
        </w:rPr>
        <w:t xml:space="preserve"> e o Regulamento de Bolsas de Investigação da Universidade de Trás-os-Montes e Alto Douro – Despacho RT.36/2011, de 6 de Julho, do Sr. Reitor, publicado em Diário da República pelo Despacho Nº 9157/2011 (II Série), de 19 de Julho.</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Local de trabalho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trabalho será desenvolvido no(a)</w:t>
      </w:r>
      <w:r>
        <w:rPr>
          <w:rFonts w:ascii="Arial" w:eastAsia="Arial" w:hAnsi="Arial" w:cs="Arial"/>
          <w:sz w:val="20"/>
          <w:szCs w:val="20"/>
          <w:lang w:val="pt-PT"/>
        </w:rPr>
        <w:t xml:space="preserve"> Centro de Quimica Vila Real (CQ-VR) da Universidade de Trás-os-Montes e Alto Douro</w:t>
      </w:r>
      <w:r>
        <w:rPr>
          <w:rFonts w:ascii="Arial" w:eastAsia="Arial" w:hAnsi="Arial" w:cs="Arial"/>
          <w:sz w:val="20"/>
          <w:szCs w:val="20"/>
          <w:lang w:val="pt-PT"/>
        </w:rPr>
        <w:t xml:space="preserve"> </w:t>
      </w:r>
      <w:r>
        <w:rPr>
          <w:rFonts w:ascii="Arial" w:eastAsia="Arial" w:hAnsi="Arial" w:cs="Arial"/>
          <w:sz w:val="20"/>
          <w:szCs w:val="20"/>
          <w:lang w:val="pt-PT"/>
        </w:rPr>
        <w:t xml:space="preserve">da</w:t>
      </w:r>
      <w:r>
        <w:rPr>
          <w:rFonts w:ascii="Arial" w:eastAsia="Arial" w:hAnsi="Arial" w:cs="Arial"/>
          <w:sz w:val="20"/>
          <w:szCs w:val="20"/>
          <w:lang w:val="pt-PT"/>
        </w:rPr>
        <w:t xml:space="preserve"> </w:t>
      </w:r>
      <w:r>
        <w:rPr>
          <w:rFonts w:ascii="Arial" w:eastAsia="Arial" w:hAnsi="Arial" w:cs="Arial"/>
          <w:sz w:val="20"/>
          <w:szCs w:val="20"/>
          <w:lang w:val="pt-PT"/>
        </w:rPr>
        <w:t xml:space="preserve">Universidade de</w:t>
      </w:r>
      <w:r>
        <w:rPr>
          <w:rFonts w:ascii="Arial" w:eastAsia="Arial" w:hAnsi="Arial" w:cs="Arial"/>
          <w:sz w:val="20"/>
          <w:szCs w:val="20"/>
          <w:lang w:val="pt-PT"/>
        </w:rPr>
        <w:t xml:space="preserve"> Trás-os-Montes e Alto Douro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Duração da</w:t>
      </w:r>
      <w:r>
        <w:rPr>
          <w:rFonts w:ascii="Arial" w:eastAsia="Arial" w:hAnsi="Arial" w:cs="Arial"/>
          <w:b/>
          <w:sz w:val="20"/>
          <w:szCs w:val="20"/>
          <w:lang w:val="pt-PT"/>
        </w:rPr>
        <w:t xml:space="preserve"> </w:t>
      </w:r>
      <w:r>
        <w:rPr>
          <w:rFonts w:ascii="Arial" w:eastAsia="Arial" w:hAnsi="Arial" w:cs="Arial"/>
          <w:b/>
          <w:sz w:val="20"/>
          <w:szCs w:val="20"/>
          <w:lang w:val="pt-PT"/>
        </w:rPr>
        <w:t xml:space="preserve">(s) bolsa</w:t>
      </w:r>
      <w:r>
        <w:rPr>
          <w:rFonts w:ascii="Arial" w:eastAsia="Arial" w:hAnsi="Arial" w:cs="Arial"/>
          <w:b/>
          <w:sz w:val="20"/>
          <w:szCs w:val="20"/>
          <w:lang w:val="pt-PT"/>
        </w:rPr>
        <w:t xml:space="preserve"> </w:t>
      </w:r>
      <w:r>
        <w:rPr>
          <w:rFonts w:ascii="Arial" w:eastAsia="Arial" w:hAnsi="Arial" w:cs="Arial"/>
          <w:b/>
          <w:sz w:val="20"/>
          <w:szCs w:val="20"/>
          <w:lang w:val="pt-PT"/>
        </w:rPr>
        <w:t xml:space="preserve">(s)</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bolsa terá a</w:t>
      </w:r>
      <w:r>
        <w:rPr>
          <w:rFonts w:ascii="Arial" w:eastAsia="Arial" w:hAnsi="Arial" w:cs="Arial"/>
          <w:sz w:val="20"/>
          <w:szCs w:val="20"/>
          <w:lang w:val="pt-PT"/>
        </w:rPr>
        <w:t xml:space="preserve"> duração de </w:t>
      </w:r>
      <w:r>
        <w:rPr>
          <w:rFonts w:ascii="Arial" w:eastAsia="Arial" w:hAnsi="Arial" w:cs="Arial"/>
          <w:sz w:val="20"/>
          <w:szCs w:val="20"/>
          <w:lang w:val="pt-PT"/>
        </w:rPr>
        <w:t xml:space="preserve">12</w:t>
      </w:r>
      <w:r>
        <w:rPr>
          <w:rFonts w:ascii="Arial" w:eastAsia="Arial" w:hAnsi="Arial" w:cs="Arial"/>
          <w:sz w:val="20"/>
          <w:szCs w:val="20"/>
          <w:lang w:val="pt-PT"/>
        </w:rPr>
        <w:t xml:space="preserve"> </w:t>
      </w:r>
      <w:r>
        <w:rPr>
          <w:rFonts w:ascii="Arial" w:eastAsia="Arial" w:hAnsi="Arial" w:cs="Arial"/>
          <w:sz w:val="20"/>
          <w:szCs w:val="20"/>
          <w:lang w:val="pt-PT"/>
        </w:rPr>
        <w:t xml:space="preserve">meses, com início previsto em Dezembro</w:t>
      </w:r>
      <w:r>
        <w:rPr>
          <w:rFonts w:ascii="Arial" w:eastAsia="Arial" w:hAnsi="Arial" w:cs="Arial"/>
          <w:sz w:val="20"/>
          <w:szCs w:val="20"/>
          <w:lang w:val="pt-PT"/>
        </w:rPr>
        <w:t xml:space="preserve"> de </w:t>
      </w:r>
      <w:r>
        <w:rPr>
          <w:rFonts w:ascii="Arial" w:eastAsia="Arial" w:hAnsi="Arial" w:cs="Arial"/>
          <w:sz w:val="20"/>
          <w:szCs w:val="20"/>
          <w:lang w:val="pt-PT"/>
        </w:rPr>
        <w:t xml:space="preserve">2026</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 </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bCs/>
          <w:sz w:val="20"/>
          <w:szCs w:val="20"/>
          <w:lang w:val="pt-PT"/>
        </w:rPr>
      </w:pPr>
      <w:r>
        <w:rPr>
          <w:rFonts w:ascii="Arial" w:eastAsia="Arial" w:hAnsi="Arial" w:cs="Arial"/>
          <w:b/>
          <w:bCs/>
          <w:sz w:val="20"/>
          <w:szCs w:val="20"/>
          <w:lang w:val="pt-PT"/>
        </w:rPr>
        <w:t xml:space="preserve">Nota:</w:t>
      </w:r>
    </w:p>
    <w:p>
      <w:pPr>
        <w:spacing w:line="360" w:lineRule="auto"/>
        <w:jc w:val="both"/>
        <w:rPr>
          <w:rFonts w:ascii="Arial" w:eastAsia="Arial" w:hAnsi="Arial" w:cs="Arial"/>
          <w:b/>
          <w:bCs/>
          <w:color w:val="0070C0"/>
          <w:sz w:val="20"/>
          <w:szCs w:val="20"/>
          <w:lang w:val="pt-PT"/>
        </w:rPr>
      </w:pPr>
      <w:r>
        <w:rPr>
          <w:rStyle w:val="Forte"/>
          <w:rFonts w:ascii="Arial" w:eastAsia="Arial" w:hAnsi="Arial" w:cs="Arial"/>
          <w:b w:val="0"/>
          <w:bCs w:val="0"/>
          <w:sz w:val="20"/>
          <w:szCs w:val="20"/>
          <w:lang w:val="pt-PT"/>
        </w:rPr>
        <w:t xml:space="preserve">Se a bolsa for atribuída a estudantes inscritos em curso não conferente de grau académico, o contrato não poderá ultrapassar a duração total de 12 meses.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Valor do subsídio de manutenção mensal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mont</w:t>
      </w:r>
      <w:r>
        <w:rPr>
          <w:rFonts w:ascii="Arial" w:eastAsia="Arial" w:hAnsi="Arial" w:cs="Arial"/>
          <w:sz w:val="20"/>
          <w:szCs w:val="20"/>
          <w:lang w:val="pt-PT"/>
        </w:rPr>
        <w:t xml:space="preserve">ante da bolsa corresponde a €1359,64</w:t>
      </w:r>
      <w:r>
        <w:rPr>
          <w:rFonts w:ascii="Arial" w:eastAsia="Arial" w:hAnsi="Arial" w:cs="Arial"/>
          <w:sz w:val="20"/>
          <w:szCs w:val="20"/>
          <w:lang w:val="pt-PT"/>
        </w:rPr>
        <w:t xml:space="preserve">, conforme tabela de valores das bolsas atribuídas dire</w:t>
      </w:r>
      <w:r>
        <w:rPr>
          <w:rFonts w:ascii="Arial" w:eastAsia="Arial" w:hAnsi="Arial" w:cs="Arial"/>
          <w:sz w:val="20"/>
          <w:szCs w:val="20"/>
          <w:lang w:val="pt-PT"/>
        </w:rPr>
        <w:t xml:space="preserve">tamente pela FCT, I.P. no País </w:t>
      </w:r>
      <w:r>
        <w:rPr>
          <w:rFonts w:ascii="Arial" w:eastAsia="Arial" w:hAnsi="Arial" w:cs="Arial"/>
          <w:sz w:val="18"/>
          <w:szCs w:val="18"/>
          <w:lang w:val="pt-PT"/>
        </w:rPr>
        <w:t xml:space="preserve">(</w:t>
      </w:r>
      <w:bookmarkStart w:id="2" w:name="OLE_LINK1"/>
      <w:bookmarkStart w:id="3" w:name="OLE_LINK2"/>
      <w:hyperlink r:id="rId1" w:history="1">
        <w:r>
          <w:rPr>
            <w:rStyle w:val="Hiperligao"/>
            <w:rFonts w:ascii="Arial" w:eastAsia="Arial" w:hAnsi="Arial" w:cs="Arial"/>
            <w:sz w:val="18"/>
            <w:szCs w:val="18"/>
            <w:lang w:val="pt-PT"/>
          </w:rPr>
          <w:t xml:space="preserve">https://www.fct.pt/apoios/bolsas/valores</w:t>
        </w:r>
      </w:hyperlink>
      <w:bookmarkEnd w:id="2"/>
      <w:bookmarkEnd w:id="3"/>
      <w:r>
        <w:rPr>
          <w:rFonts w:ascii="Arial" w:eastAsia="Arial" w:hAnsi="Arial" w:cs="Arial"/>
          <w:sz w:val="18"/>
          <w:szCs w:val="18"/>
          <w:lang w:val="pt-PT"/>
        </w:rPr>
        <w:t xml:space="preserve">)</w:t>
      </w:r>
      <w:r>
        <w:rPr>
          <w:rFonts w:ascii="Arial" w:eastAsia="Arial" w:hAnsi="Arial" w:cs="Arial"/>
          <w:sz w:val="18"/>
          <w:szCs w:val="18"/>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A periodicidade de pagamento da bolsa é mensal e através de depósito bancário, cheque ou outra modalidade equivalente</w:t>
      </w:r>
      <w:r>
        <w:rPr>
          <w:rFonts w:ascii="Arial" w:eastAsia="Arial" w:hAnsi="Arial" w:cs="Arial"/>
          <w:sz w:val="20"/>
          <w:szCs w:val="20"/>
          <w:lang w:val="pt-PT"/>
        </w:rPr>
        <w:t xml:space="preserve">.</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Métodos de seleção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métodos de seleção a utilizar serão</w:t>
      </w:r>
      <w:r>
        <w:rPr>
          <w:rFonts w:ascii="Arial" w:eastAsia="Arial" w:hAnsi="Arial" w:cs="Arial"/>
          <w:sz w:val="20"/>
          <w:szCs w:val="20"/>
          <w:lang w:val="pt-PT"/>
        </w:rPr>
        <w:t xml:space="preserve"> os seguintes: </w:t>
      </w:r>
      <w:r>
        <w:rPr>
          <w:rFonts w:ascii="Arial" w:eastAsia="Arial" w:hAnsi="Arial" w:cs="Arial"/>
          <w:sz w:val="18"/>
          <w:szCs w:val="18"/>
          <w:lang w:val="pt-PT"/>
        </w:rPr>
        <w:t xml:space="preserve">Curriculo vitae, Experiencia em atividades de investigação na área do Projeto e Nota final do mestrado</w:t>
      </w:r>
      <w:r>
        <w:rPr>
          <w:rFonts w:ascii="Arial" w:eastAsia="Arial" w:hAnsi="Arial" w:cs="Arial"/>
          <w:sz w:val="20"/>
          <w:szCs w:val="20"/>
          <w:lang w:val="pt-PT"/>
        </w:rPr>
        <w:t xml:space="preserve">, com a </w:t>
      </w:r>
      <w:r>
        <w:rPr>
          <w:rFonts w:ascii="Arial" w:eastAsia="Arial" w:hAnsi="Arial" w:cs="Arial"/>
          <w:sz w:val="20"/>
          <w:szCs w:val="20"/>
          <w:lang w:val="pt-PT"/>
        </w:rPr>
        <w:t xml:space="preserve">respetiva valoração de </w:t>
      </w:r>
      <w:r>
        <w:rPr>
          <w:rFonts w:ascii="Arial" w:eastAsia="Arial" w:hAnsi="Arial" w:cs="Arial"/>
          <w:sz w:val="20"/>
          <w:szCs w:val="20"/>
          <w:lang w:val="pt-PT"/>
        </w:rPr>
        <w:t xml:space="preserve">40%, 30% e 30%</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Composição do Júri de Seleção</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Presidente - MARIA FERNANDA GIL COSME MARTINS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FERNANDO HERMÍNIO FERREIRA MILHEIRO NUNES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JOSÉ MIGUEL SILVA FERREIRA RIBEIRO</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Forma de publicitação/notificação dos resultados</w:t>
      </w:r>
      <w:r>
        <w:rPr>
          <w:rFonts w:ascii="Arial" w:eastAsia="Arial" w:hAnsi="Arial" w:cs="Arial"/>
          <w:sz w:val="20"/>
          <w:szCs w:val="20"/>
          <w:lang w:val="pt-PT"/>
        </w:rPr>
        <w:t xml:space="preserve">:</w:t>
      </w:r>
      <w:bookmarkStart w:id="4" w:name="_GoBack"/>
      <w:bookmarkEnd w:id="4"/>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resultados finais da avaliação serão publicitados, através de lista ordenada </w:t>
      </w:r>
      <w:r>
        <w:rPr>
          <w:rFonts w:ascii="Arial" w:eastAsia="Arial" w:hAnsi="Arial" w:cs="Arial"/>
          <w:sz w:val="20"/>
          <w:szCs w:val="20"/>
          <w:lang w:val="pt-PT"/>
        </w:rPr>
        <w:t xml:space="preserve">Alfabeticamente</w:t>
      </w:r>
      <w:r>
        <w:rPr>
          <w:rFonts w:ascii="Arial" w:eastAsia="Arial" w:hAnsi="Arial" w:cs="Arial"/>
          <w:sz w:val="20"/>
          <w:szCs w:val="20"/>
          <w:lang w:val="pt-PT"/>
        </w:rPr>
        <w:t xml:space="preserve"> afixada </w:t>
      </w:r>
      <w:r>
        <w:rPr>
          <w:rFonts w:ascii="Arial" w:eastAsia="Arial" w:hAnsi="Arial" w:cs="Arial"/>
          <w:sz w:val="20"/>
          <w:szCs w:val="20"/>
          <w:lang w:val="pt-PT"/>
        </w:rPr>
        <w:t xml:space="preserve">n</w:t>
      </w:r>
      <w:r>
        <w:rPr>
          <w:rFonts w:ascii="Arial" w:eastAsia="Arial" w:hAnsi="Arial" w:cs="Arial"/>
          <w:sz w:val="20"/>
          <w:szCs w:val="20"/>
          <w:lang w:val="pt-PT"/>
        </w:rPr>
        <w:t xml:space="preserve">o(a) </w:t>
      </w:r>
      <w:r>
        <w:rPr>
          <w:rFonts w:ascii="Arial" w:eastAsia="Arial" w:hAnsi="Arial" w:cs="Arial"/>
          <w:sz w:val="20"/>
          <w:szCs w:val="20"/>
          <w:lang w:val="pt-PT"/>
        </w:rPr>
        <w:t xml:space="preserve">Página Campus Online da UTAD</w:t>
      </w:r>
      <w:r>
        <w:rPr>
          <w:rFonts w:ascii="Arial" w:eastAsia="Arial" w:hAnsi="Arial" w:cs="Arial"/>
          <w:sz w:val="20"/>
          <w:szCs w:val="20"/>
          <w:lang w:val="pt-PT"/>
        </w:rPr>
        <w:t xml:space="preserve"> (http://www.campus.utad.pt/bolsasinvestigacao/candidaturas</w:t>
      </w:r>
      <w:r>
        <w:rPr>
          <w:rFonts w:ascii="Arial" w:eastAsia="Arial" w:hAnsi="Arial" w:cs="Arial"/>
          <w:sz w:val="20"/>
          <w:szCs w:val="20"/>
          <w:lang w:val="pt-PT"/>
        </w:rPr>
        <w:t xml:space="preserve">)</w:t>
      </w:r>
      <w:r>
        <w:rPr>
          <w:rFonts w:ascii="Arial" w:eastAsia="Arial" w:hAnsi="Arial" w:cs="Arial"/>
          <w:sz w:val="20"/>
          <w:szCs w:val="20"/>
          <w:lang w:val="pt-PT"/>
        </w:rPr>
        <w:t xml:space="preserve">, sendo o candidato(a) aprovado(a</w:t>
      </w:r>
      <w:r>
        <w:rPr>
          <w:rFonts w:ascii="Arial" w:eastAsia="Arial" w:hAnsi="Arial" w:cs="Arial"/>
          <w:sz w:val="20"/>
          <w:szCs w:val="20"/>
          <w:lang w:val="pt-PT"/>
        </w:rPr>
        <w:t xml:space="preserve">) notificado </w:t>
      </w:r>
      <w:r>
        <w:rPr>
          <w:rFonts w:ascii="Arial" w:eastAsia="Arial" w:hAnsi="Arial" w:cs="Arial"/>
          <w:sz w:val="20"/>
          <w:szCs w:val="20"/>
          <w:lang w:val="pt-PT"/>
        </w:rPr>
        <w:t xml:space="preserve">através</w:t>
      </w:r>
      <w:r>
        <w:rPr>
          <w:rFonts w:ascii="Arial" w:eastAsia="Arial" w:hAnsi="Arial" w:cs="Arial"/>
          <w:sz w:val="20"/>
          <w:szCs w:val="20"/>
          <w:lang w:val="pt-PT"/>
        </w:rPr>
        <w:t xml:space="preserve"> de e-mail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eastAsia="en-GB"/>
        </w:rPr>
      </w:pPr>
      <w:r>
        <w:rPr>
          <w:rFonts w:ascii="Arial" w:eastAsia="Arial" w:hAnsi="Arial" w:cs="Arial"/>
          <w:sz w:val="20"/>
          <w:szCs w:val="20"/>
          <w:lang w:val="pt-PT"/>
        </w:rPr>
        <w:t xml:space="preserve">Com base na lista de seriação final será constituída uma lista de reserva, </w:t>
      </w:r>
      <w:r>
        <w:rPr>
          <w:rFonts w:ascii="Arial" w:eastAsia="Arial" w:hAnsi="Arial" w:cs="Arial"/>
          <w:sz w:val="20"/>
          <w:szCs w:val="20"/>
          <w:lang w:val="pt-PT"/>
        </w:rPr>
        <w:t xml:space="preserve">de validade igual à duração máxima do projeto que financia a presente bolsa ou à duração máxima da bolsa prevista no artigo 3.º, n.º 2, do Estatuto do Bolseiro de Investigação, Lei n.º 40/2004, de 18/08, revista pelo Decreto-Lei n.º 123/2019, de 28/08 (aquela que ocorrer primeiro),</w:t>
      </w:r>
      <w:r>
        <w:rPr>
          <w:rFonts w:ascii="Arial" w:eastAsia="Arial" w:hAnsi="Arial" w:cs="Arial"/>
          <w:sz w:val="20"/>
          <w:szCs w:val="20"/>
          <w:lang w:val="pt-PT"/>
        </w:rPr>
        <w:t xml:space="preserve"> a qual será utilizada para a eventual contratação de novos bolseiros no âmbito do presente projeto ou no caso de desistência do/a candidato/a classificado/a em primeiro lugar. Na eventualidade de nenhum /a dos/as candidatos/as demonstrar possuir o perfil indicado para a realização do plano de trabalhos, o júri reserva-se o direito de não atribuir a bolsa a concurso. Caso a decisão a tomar seja desfavorável à concessão da bolsa requerida, os candidatos têm um prazo de 10 dias úteis, após a divulgação referida, para se pronunciarem, querendo, em sede de audiência prévia, nos termos previstos no Código do Procedimento Administrativo.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Prazo de candidatura e forma de apresentação das candidaturas</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O concurso encontra-se aber</w:t>
      </w:r>
      <w:r>
        <w:rPr>
          <w:rFonts w:ascii="Arial" w:eastAsia="Arial" w:hAnsi="Arial" w:cs="Arial"/>
          <w:sz w:val="20"/>
          <w:szCs w:val="20"/>
          <w:lang w:val="pt-PT"/>
        </w:rPr>
        <w:t xml:space="preserve">to no período de </w:t>
      </w:r>
      <w:r>
        <w:rPr>
          <w:rFonts w:ascii="Arial" w:eastAsia="Arial" w:hAnsi="Arial" w:cs="Arial"/>
          <w:sz w:val="20"/>
          <w:szCs w:val="20"/>
          <w:lang w:val="pt-PT"/>
        </w:rPr>
        <w:t xml:space="preserve">22-09-2026</w:t>
      </w:r>
      <w:r>
        <w:rPr>
          <w:rFonts w:ascii="Arial" w:eastAsia="Arial" w:hAnsi="Arial" w:cs="Arial"/>
          <w:sz w:val="20"/>
          <w:szCs w:val="20"/>
          <w:lang w:val="pt-PT"/>
        </w:rPr>
        <w:t xml:space="preserve"> a </w:t>
      </w:r>
      <w:r>
        <w:rPr>
          <w:rFonts w:ascii="Arial" w:eastAsia="Arial" w:hAnsi="Arial" w:cs="Arial"/>
          <w:sz w:val="20"/>
          <w:szCs w:val="20"/>
          <w:lang w:val="pt-PT"/>
        </w:rPr>
        <w:t xml:space="preserve">05-10-2026</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As candidaturas devem ser formalizadas, obrigatoriamente, através do envio de </w:t>
      </w:r>
      <w:r>
        <w:rPr>
          <w:rFonts w:ascii="Arial" w:eastAsia="Arial" w:hAnsi="Arial" w:cs="Arial"/>
          <w:sz w:val="20"/>
          <w:szCs w:val="20"/>
          <w:lang w:val="pt-PT"/>
        </w:rPr>
        <w:t xml:space="preserve">formulário</w:t>
      </w:r>
      <w:r>
        <w:rPr>
          <w:rFonts w:ascii="Arial" w:eastAsia="Arial" w:hAnsi="Arial" w:cs="Arial"/>
          <w:sz w:val="20"/>
          <w:szCs w:val="20"/>
          <w:lang w:val="pt-PT"/>
        </w:rPr>
        <w:t xml:space="preserve"> de </w:t>
      </w:r>
      <w:r>
        <w:rPr>
          <w:rFonts w:ascii="Arial" w:eastAsia="Arial" w:hAnsi="Arial" w:cs="Arial"/>
          <w:sz w:val="20"/>
          <w:szCs w:val="20"/>
          <w:lang w:val="pt-PT"/>
        </w:rPr>
        <w:t xml:space="preserve">candidatura acompanhado</w:t>
      </w:r>
      <w:r>
        <w:rPr>
          <w:rFonts w:ascii="Arial" w:eastAsia="Arial" w:hAnsi="Arial" w:cs="Arial"/>
          <w:sz w:val="20"/>
          <w:szCs w:val="20"/>
          <w:lang w:val="pt-PT"/>
        </w:rPr>
        <w:t xml:space="preserve"> dos</w:t>
      </w:r>
      <w:r>
        <w:rPr>
          <w:rFonts w:ascii="Arial" w:eastAsia="Arial" w:hAnsi="Arial" w:cs="Arial"/>
          <w:sz w:val="20"/>
          <w:szCs w:val="20"/>
          <w:lang w:val="pt-PT"/>
        </w:rPr>
        <w:t xml:space="preserve"> seguintes documentos: </w:t>
      </w:r>
      <w:r>
        <w:rPr>
          <w:rFonts w:ascii="Arial" w:eastAsia="Arial" w:hAnsi="Arial" w:cs="Arial"/>
          <w:sz w:val="20"/>
          <w:szCs w:val="20"/>
          <w:lang w:val="pt-PT"/>
        </w:rPr>
        <w:t xml:space="preserve">Cópia do(s) certificado(s) de habilitações, Curriculum Vitae do bolseiro detalhado [comprovando os requisitos acima referidos], Indicação dos seguintes dados: nº de cartão de cidadão,</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                                    nº de identificação fiscal – NIF, data de nascimento, contacto de telemóvel e endereço de correio eletrónico e Declaração sob compromisso de honra preenchido (que se encontra disponível na página de candidaturas)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candidatura deverá ser efetuada através da Página do Campus Online da UTAD, na secção de Bolsas de Investigação, seguindo as seguintes indicações:</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Aceder à Página do Campus Online da UTAD: </w:t>
      </w:r>
      <w:hyperlink r:id="rId2" w:history="1">
        <w:r>
          <w:rPr>
            <w:rStyle w:val="Hiperligao"/>
            <w:rFonts w:ascii="Arial" w:eastAsia="Arial" w:hAnsi="Arial" w:cs="Arial"/>
            <w:sz w:val="20"/>
            <w:szCs w:val="20"/>
            <w:lang w:val="pt-PT"/>
          </w:rPr>
          <w:t xml:space="preserve">www.campus.utad.pt</w:t>
        </w:r>
      </w:hyperlink>
      <w:r>
        <w:rPr>
          <w:rFonts w:ascii="Arial" w:eastAsia="Arial" w:hAnsi="Arial" w:cs="Arial"/>
          <w:sz w:val="20"/>
          <w:szCs w:val="20"/>
          <w:lang w:val="pt-PT"/>
        </w:rPr>
        <w:t xml:space="preserve"> e</w:t>
      </w:r>
      <w:r>
        <w:rPr>
          <w:rFonts w:ascii="Arial" w:eastAsia="Arial" w:hAnsi="Arial" w:cs="Arial"/>
          <w:sz w:val="20"/>
          <w:szCs w:val="20"/>
          <w:lang w:val="pt-PT"/>
        </w:rPr>
        <w:t xml:space="preserve"> </w:t>
      </w:r>
      <w:r>
        <w:rPr>
          <w:rFonts w:ascii="Arial" w:eastAsia="Arial" w:hAnsi="Arial" w:cs="Arial"/>
          <w:sz w:val="20"/>
          <w:szCs w:val="20"/>
          <w:lang w:val="pt-PT"/>
        </w:rPr>
        <w:t xml:space="preserve">s</w:t>
      </w:r>
      <w:r>
        <w:rPr>
          <w:rFonts w:ascii="Arial" w:eastAsia="Arial" w:hAnsi="Arial" w:cs="Arial"/>
          <w:sz w:val="20"/>
          <w:szCs w:val="20"/>
          <w:lang w:val="pt-PT"/>
        </w:rPr>
        <w:t xml:space="preserve">elecionar a opção Bolsas de Investigação. Ou aceder diretamente a </w:t>
      </w:r>
      <w:hyperlink r:id="rId3" w:history="1">
        <w:r>
          <w:rPr>
            <w:rStyle w:val="Hiperligao"/>
            <w:rFonts w:ascii="Arial" w:eastAsia="Arial" w:hAnsi="Arial" w:cs="Arial"/>
            <w:sz w:val="20"/>
            <w:szCs w:val="20"/>
            <w:lang w:val="pt-PT"/>
          </w:rPr>
          <w:t xml:space="preserve">www.campus.utad.pt/bolsasinvestigacao/lista</w:t>
        </w:r>
      </w:hyperlink>
      <w:r>
        <w:rPr>
          <w:rFonts w:ascii="Arial" w:eastAsia="Arial" w:hAnsi="Arial" w:cs="Arial"/>
          <w:sz w:val="20"/>
          <w:szCs w:val="20"/>
          <w:lang w:val="pt-PT"/>
        </w:rPr>
        <w:t xml:space="preserve">. </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Selecionar a bolsa à qual se pretende candidatar.</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Ao selecionar a opção “Candidatar” será reencaminhado para a página de candidatura na qual deverá preencher e </w:t>
      </w:r>
      <w:r>
        <w:rPr>
          <w:rFonts w:ascii="Arial" w:eastAsia="Arial" w:hAnsi="Arial" w:cs="Arial"/>
          <w:sz w:val="20"/>
          <w:szCs w:val="20"/>
          <w:lang w:val="pt-PT"/>
        </w:rPr>
        <w:t xml:space="preserve">submeter</w:t>
      </w:r>
      <w:r>
        <w:rPr>
          <w:rFonts w:ascii="Arial" w:eastAsia="Arial" w:hAnsi="Arial" w:cs="Arial"/>
          <w:sz w:val="20"/>
          <w:szCs w:val="20"/>
          <w:lang w:val="pt-PT"/>
        </w:rPr>
        <w:t xml:space="preserve"> o respetivo formulário.</w:t>
      </w: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O/a candidato/a tem direito a igualdade de oportunidades e de tratamento, não podendo ser privilegiado/a, beneficiado/a, prejudicado/a, privado/a de qualquer direito ou isento/a de qualquer dever em razão, nomeadamente, de ascendência, idade, sexo, orientação sexual, estado civil, situação familiar, situação económica, instrução, origem ou condição social, património genético, capacidade de trabalho reduzida, deficiência, doença crónica, nacionalidade, origem étnica ou raça, território de origem, língua, religião, convicções políticas ou ideológicas e filiação sindical.</w:t>
      </w:r>
    </w:p>
    <w:sectPr>
      <w:headerReference w:type="default" r:id="rId4"/>
      <w:footerReference w:type="default" r:id="rId5"/>
      <w:type w:val="nextPage"/>
      <w:pgSz w:w="11906" w:h="16838"/>
      <w:pgMar w:top="1438" w:right="1134" w:bottom="360" w:left="1134" w:footer="324" w:header="720" w:gutter="0"/>
      <w:pgBorders>
        <w:top w:val="none" w:sz="0" w:space="0" w:color="auto"/>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Auto"/>
    <w:pitch w:val="variable"/>
    <w:sig w:usb0="00000000" w:usb1="10000000" w:usb2="00000000" w:usb3="00000000" w:csb0="00000000" w:csb1="10000000"/>
  </w:font>
  <w:font w:name="Times New Roman">
    <w:panose1 w:val="02020603050405020304"/>
    <w:charset w:val="00"/>
    <w:family w:val="Auto"/>
    <w:pitch w:val="variable"/>
    <w:sig w:usb0="E0002EFF" w:usb1="C000785B" w:usb2="00000009" w:usb3="00000000" w:csb0="E0002EFF" w:csb1="C000785B"/>
  </w:font>
  <w:font w:name="Courier New">
    <w:panose1 w:val="02070309020205020404"/>
    <w:charset w:val="00"/>
    <w:family w:val="Auto"/>
    <w:pitch w:val="fixed"/>
    <w:sig w:usb0="E0002EFF" w:usb1="C0007843" w:usb2="00000009" w:usb3="00000000" w:csb0="E0002EFF" w:csb1="C0007843"/>
  </w:font>
  <w:font w:name="Wingdings">
    <w:panose1 w:val="05000000000000000000"/>
    <w:charset w:val="02"/>
    <w:family w:val="Auto"/>
    <w:pitch w:val="variable"/>
    <w:sig w:usb0="00000000" w:usb1="10000000" w:usb2="00000000" w:usb3="00000000" w:csb0="00000000" w:csb1="10000000"/>
  </w:font>
  <w:font w:name="Arial">
    <w:panose1 w:val="020B0604020202020204"/>
    <w:charset w:val="00"/>
    <w:family w:val="Auto"/>
    <w:pitch w:val="variable"/>
    <w:sig w:usb0="E0002EFF" w:usb1="C000785B" w:usb2="00000009" w:usb3="00000000" w:csb0="E0002EFF" w:csb1="C000785B"/>
  </w:font>
  <w:font w:name="Tahoma">
    <w:panose1 w:val="020B0604030504040204"/>
    <w:charset w:val="00"/>
    <w:family w:val="Auto"/>
    <w:pitch w:val="variable"/>
    <w:sig w:usb0="E1002EFF" w:usb1="C000605B" w:usb2="00000029" w:usb3="00000000" w:csb0="E1002EFF" w:csb1="C000605B"/>
  </w:font>
  <w:font w:name="Calibri">
    <w:panose1 w:val="020F0502020204030204"/>
    <w:charset w:val="00"/>
    <w:family w:val="Auto"/>
    <w:pitch w:val="variable"/>
    <w:sig w:usb0="E4002EFF" w:usb1="C200247B" w:usb2="00000009" w:usb3="00000000" w:csb0="E4002EFF" w:csb1="C200247B"/>
  </w:font>
  <w:font w:name="Calibri Light">
    <w:panose1 w:val="020F0302020204030204"/>
    <w:charset w:val="00"/>
    <w:family w:val="Auto"/>
    <w:pitch w:val="variable"/>
    <w:sig w:usb0="E4002EFF" w:usb1="C200247B" w:usb2="00000009" w:usb3="00000000" w:csb0="E4002EFF" w:csb1="C200247B"/>
  </w:font>
</w:fonts>
</file>

<file path=word/footer5.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Rodap"/>
      <w:tabs>
        <w:tab w:pos="4252" w:val="center"/>
        <w:tab w:pos="8504" w:val="right"/>
      </w:tabs>
      <w:spacing/>
      <w:ind w:left="-180" w:right="-442"/>
      <w:rPr/>
    </w:pPr>
    <w:r>
      <w:rPr>
        <w:noProof/>
      </w:rPr>
      <w:drawing>
        <wp:inline>
          <wp:extent cx="1371600" cy="304800"/>
          <wp:effectExtent xmlns:wp="http://schemas.openxmlformats.org/drawingml/2006/wordprocessingDrawing" l="0" t="0" r="0" b="0"/>
          <wp:docPr id="1" name=""/>
          <a:graphic>
            <a:graphicData uri="http://schemas.openxmlformats.org/drawingml/2006/picture">
              <pic:pic>
                <pic:nvPicPr>
                  <pic:cNvPr id="0" name="" descr=""/>
                  <pic:cNvPicPr>
                    <a:picLocks noChangeAspect="1" noChangeArrowheads="1"/>
                  </pic:cNvPicPr>
                </pic:nvPicPr>
                <pic:blipFill>
                  <a:blip r:embed="rId7"/>
                  <a:stretch>
                    <a:fillRect/>
                  </a:stretch>
                </pic:blipFill>
                <pic:spPr bwMode="auto">
                  <a:xfrm>
                    <a:off x="0" y="0"/>
                    <a:ext cx="1371600" cy="304800"/>
                  </a:xfrm>
                  <a:prstGeom prst="rect">
                    <a:avLst/>
                  </a:prstGeom>
                </pic:spPr>
              </pic:pic>
            </a:graphicData>
          </a:graphic>
        </wp:inline>
      </w:drawing>
    </w:r>
    <w:r>
      <w:rPr/>
      <w:t xml:space="preserve">     </w:t>
    </w:r>
    <w:r>
      <w:rPr/>
      <w:t xml:space="preserve"> </w:t>
    </w:r>
    <w:r>
      <w:rPr>
        <w:noProof/>
      </w:rPr>
      <w:drawing>
        <wp:inline>
          <wp:extent cx="1209675" cy="314325"/>
          <wp:effectExtent xmlns:wp="http://schemas.openxmlformats.org/drawingml/2006/wordprocessingDrawing" l="0" t="0" r="9525" b="9525"/>
          <wp:docPr id="2" name=""/>
          <a:graphic>
            <a:graphicData uri="http://schemas.openxmlformats.org/drawingml/2006/picture">
              <pic:pic>
                <pic:nvPicPr>
                  <pic:cNvPr id="0" name="" descr=""/>
                  <pic:cNvPicPr>
                    <a:picLocks noChangeAspect="1" noChangeArrowheads="1"/>
                  </pic:cNvPicPr>
                </pic:nvPicPr>
                <pic:blipFill>
                  <a:blip r:embed="rId9"/>
                  <a:stretch>
                    <a:fillRect/>
                  </a:stretch>
                </pic:blipFill>
                <pic:spPr bwMode="auto">
                  <a:xfrm>
                    <a:off x="0" y="0"/>
                    <a:ext cx="1209675" cy="314325"/>
                  </a:xfrm>
                  <a:prstGeom prst="rect">
                    <a:avLst/>
                  </a:prstGeom>
                </pic:spPr>
              </pic:pic>
            </a:graphicData>
          </a:graphic>
        </wp:inline>
      </w:drawing>
    </w:r>
    <w:r>
      <w:rPr/>
      <w:t xml:space="preserve"> </w:t>
    </w:r>
    <w:r>
      <w:rPr/>
      <w:t xml:space="preserve">       </w:t>
    </w:r>
    <w:r>
      <w:rPr>
        <w:noProof/>
      </w:rPr>
      <w:drawing>
        <wp:inline>
          <wp:extent cx="942975" cy="552450"/>
          <wp:effectExtent xmlns:wp="http://schemas.openxmlformats.org/drawingml/2006/wordprocessingDrawing" l="0" t="0" r="9525" b="0"/>
          <wp:docPr id="3" name=""/>
          <a:graphic>
            <a:graphicData uri="http://schemas.openxmlformats.org/drawingml/2006/picture">
              <pic:pic>
                <pic:nvPicPr>
                  <pic:cNvPr id="0" name="" descr=""/>
                  <pic:cNvPicPr>
                    <a:picLocks noChangeAspect="1" noChangeArrowheads="1"/>
                  </pic:cNvPicPr>
                </pic:nvPicPr>
                <pic:blipFill>
                  <a:blip r:embed="rId11"/>
                  <a:stretch>
                    <a:fillRect/>
                  </a:stretch>
                </pic:blipFill>
                <pic:spPr bwMode="auto">
                  <a:xfrm>
                    <a:off x="0" y="0"/>
                    <a:ext cx="942975" cy="552450"/>
                  </a:xfrm>
                  <a:prstGeom prst="rect">
                    <a:avLst/>
                  </a:prstGeom>
                </pic:spPr>
              </pic:pic>
            </a:graphicData>
          </a:graphic>
        </wp:inline>
      </w:drawing>
    </w:r>
    <w:r>
      <w:rPr/>
      <w:t xml:space="preserve">       </w:t>
    </w:r>
    <w:r>
      <w:rPr>
        <w:noProof/>
      </w:rPr>
      <w:drawing>
        <wp:inline>
          <wp:extent cx="838200" cy="409575"/>
          <wp:effectExtent xmlns:wp="http://schemas.openxmlformats.org/drawingml/2006/wordprocessingDrawing" l="0" t="0" r="0" b="9525"/>
          <wp:docPr id="4" name=""/>
          <a:graphic>
            <a:graphicData uri="http://schemas.openxmlformats.org/drawingml/2006/picture">
              <pic:pic>
                <pic:nvPicPr>
                  <pic:cNvPr id="0" name="" descr=""/>
                  <pic:cNvPicPr>
                    <a:picLocks noChangeAspect="1" noChangeArrowheads="1"/>
                  </pic:cNvPicPr>
                </pic:nvPicPr>
                <pic:blipFill>
                  <a:blip r:embed="rId13"/>
                  <a:stretch>
                    <a:fillRect/>
                  </a:stretch>
                </pic:blipFill>
                <pic:spPr bwMode="auto">
                  <a:xfrm>
                    <a:off x="0" y="0"/>
                    <a:ext cx="838200" cy="409575"/>
                  </a:xfrm>
                  <a:prstGeom prst="rect">
                    <a:avLst/>
                  </a:prstGeom>
                </pic:spPr>
              </pic:pic>
            </a:graphicData>
          </a:graphic>
        </wp:inline>
      </w:drawing>
    </w:r>
    <w:r>
      <w:rPr/>
      <w:t xml:space="preserve">        </w:t>
    </w:r>
    <w:r>
      <w:rPr>
        <w:noProof/>
      </w:rPr>
      <w:drawing>
        <wp:inline>
          <wp:extent cx="952500" cy="342900"/>
          <wp:effectExtent xmlns:wp="http://schemas.openxmlformats.org/drawingml/2006/wordprocessingDrawing" l="0" t="0" r="0" b="0"/>
          <wp:docPr id="5" name=""/>
          <a:graphic>
            <a:graphicData uri="http://schemas.openxmlformats.org/drawingml/2006/picture">
              <pic:pic>
                <pic:nvPicPr>
                  <pic:cNvPr id="0" name="" descr=""/>
                  <pic:cNvPicPr>
                    <a:picLocks noChangeAspect="1" noChangeArrowheads="1"/>
                  </pic:cNvPicPr>
                </pic:nvPicPr>
                <pic:blipFill>
                  <a:blip r:embed="rId15"/>
                  <a:stretch>
                    <a:fillRect/>
                  </a:stretch>
                </pic:blipFill>
                <pic:spPr bwMode="auto">
                  <a:xfrm>
                    <a:off x="0" y="0"/>
                    <a:ext cx="952500" cy="342900"/>
                  </a:xfrm>
                  <a:prstGeom prst="rect">
                    <a:avLst/>
                  </a:prstGeom>
                </pic:spPr>
              </pic:pic>
            </a:graphicData>
          </a:graphic>
        </wp:inline>
      </w:drawing>
    </w:r>
  </w:p>
</w:ftr>
</file>

<file path=word/header4.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Cabealho"/>
      <w:tabs>
        <w:tab w:pos="4252" w:val="center"/>
        <w:tab w:pos="8504" w:val="right"/>
      </w:tabs>
      <w:spacing/>
      <w:jc w:val="right"/>
      <w:rPr/>
    </w:pPr>
    <w:r>
      <w:rPr>
        <w:noProof/>
      </w:rPr>
      <w:drawing>
        <wp:inline>
          <wp:extent cx="2238375" cy="381000"/>
          <wp:effectExtent xmlns:wp="http://schemas.openxmlformats.org/drawingml/2006/wordprocessingDrawing" l="0" t="0" r="9525" b="0"/>
          <wp:docPr id="6" name="" descr="C:\Users\lfavas\AppData\Local\Microsoft\Windows\INetCache\Content.Word\logo_utad_completo_azul.png"/>
          <a:graphic>
            <a:graphicData uri="http://schemas.openxmlformats.org/drawingml/2006/picture">
              <pic:pic>
                <pic:nvPicPr>
                  <pic:cNvPr id="0" name="" descr=""/>
                  <pic:cNvPicPr>
                    <a:picLocks noChangeAspect="1" noChangeArrowheads="1"/>
                  </pic:cNvPicPr>
                </pic:nvPicPr>
                <pic:blipFill>
                  <a:blip r:embed="rId17"/>
                  <a:stretch>
                    <a:fillRect/>
                  </a:stretch>
                </pic:blipFill>
                <pic:spPr bwMode="auto">
                  <a:xfrm>
                    <a:off x="0" y="0"/>
                    <a:ext cx="2238375" cy="381000"/>
                  </a:xfrm>
                  <a:prstGeom prst="rect">
                    <a:avLst/>
                  </a:prstGeom>
                </pic:spPr>
              </pic:pic>
            </a:graphicData>
          </a:graphic>
        </wp:inline>
      </w:drawing>
    </w:r>
  </w:p>
  <w:p>
    <w:pPr>
      <w:pStyle w:val="Cabealho"/>
      <w:tabs>
        <w:tab w:pos="4252" w:val="center"/>
        <w:tab w:pos="8504" w:val="right"/>
      </w:tabs>
      <w:spaci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pPr>
        <w:spacing/>
        <w:ind w:left="1080" w:hanging="360"/>
      </w:pPr>
      <w:rPr>
        <w:rFonts w:ascii="Times New Roman" w:eastAsia="Times New Roman" w:hAnsi="Times New Roman" w:cs="Times New Roman"/>
      </w:rPr>
    </w:lvl>
    <w:lvl w:ilvl="1">
      <w:start w:val="1"/>
      <w:numFmt w:val="lowerLetter"/>
      <w:suff w:val="tab"/>
      <w:lvlText w:val="%2."/>
      <w:lvlJc w:val="right"/>
      <w:pPr>
        <w:spacing/>
        <w:ind w:left="1800" w:hanging="360"/>
      </w:pPr>
      <w:rPr>
        <w:rFonts w:ascii="Times New Roman" w:eastAsia="Times New Roman" w:hAnsi="Times New Roman" w:cs="Times New Roman"/>
      </w:rPr>
    </w:lvl>
    <w:lvl w:ilvl="2">
      <w:start w:val="1"/>
      <w:numFmt w:val="lowerRoman"/>
      <w:suff w:val="tab"/>
      <w:lvlText w:val="%3."/>
      <w:pPr>
        <w:spacing/>
        <w:ind w:left="2520" w:hanging="360"/>
      </w:pPr>
      <w:rPr>
        <w:rFonts w:ascii="Times New Roman" w:eastAsia="Times New Roman" w:hAnsi="Times New Roman" w:cs="Times New Roman"/>
      </w:rPr>
    </w:lvl>
    <w:lvl w:ilvl="3">
      <w:start w:val="1"/>
      <w:numFmt w:val="decimal"/>
      <w:suff w:val="tab"/>
      <w:lvlText w:val="%4."/>
      <w:pPr>
        <w:spacing/>
        <w:ind w:left="3240" w:hanging="360"/>
      </w:pPr>
      <w:rPr>
        <w:rFonts w:ascii="Times New Roman" w:eastAsia="Times New Roman" w:hAnsi="Times New Roman" w:cs="Times New Roman"/>
      </w:rPr>
    </w:lvl>
    <w:lvl w:ilvl="4">
      <w:start w:val="1"/>
      <w:numFmt w:val="lowerLetter"/>
      <w:suff w:val="tab"/>
      <w:lvlText w:val="%5."/>
      <w:lvlJc w:val="right"/>
      <w:pPr>
        <w:spacing/>
        <w:ind w:left="3960" w:hanging="360"/>
      </w:pPr>
      <w:rPr>
        <w:rFonts w:ascii="Times New Roman" w:eastAsia="Times New Roman" w:hAnsi="Times New Roman" w:cs="Times New Roman"/>
      </w:rPr>
    </w:lvl>
    <w:lvl w:ilvl="5">
      <w:start w:val="1"/>
      <w:numFmt w:val="lowerRoman"/>
      <w:suff w:val="tab"/>
      <w:lvlText w:val="%6."/>
      <w:pPr>
        <w:spacing/>
        <w:ind w:left="4680" w:hanging="360"/>
      </w:pPr>
      <w:rPr>
        <w:rFonts w:ascii="Times New Roman" w:eastAsia="Times New Roman" w:hAnsi="Times New Roman" w:cs="Times New Roman"/>
      </w:rPr>
    </w:lvl>
    <w:lvl w:ilvl="6">
      <w:start w:val="1"/>
      <w:numFmt w:val="decimal"/>
      <w:suff w:val="tab"/>
      <w:lvlText w:val="%7."/>
      <w:pPr>
        <w:spacing/>
        <w:ind w:left="5400" w:hanging="360"/>
      </w:pPr>
      <w:rPr>
        <w:rFonts w:ascii="Times New Roman" w:eastAsia="Times New Roman" w:hAnsi="Times New Roman" w:cs="Times New Roman"/>
      </w:rPr>
    </w:lvl>
    <w:lvl w:ilvl="7">
      <w:start w:val="1"/>
      <w:numFmt w:val="lowerLetter"/>
      <w:suff w:val="tab"/>
      <w:lvlText w:val="%8."/>
      <w:lvlJc w:val="right"/>
      <w:pPr>
        <w:spacing/>
        <w:ind w:left="6120" w:hanging="360"/>
      </w:pPr>
      <w:rPr>
        <w:rFonts w:ascii="Times New Roman" w:eastAsia="Times New Roman" w:hAnsi="Times New Roman" w:cs="Times New Roman"/>
      </w:rPr>
    </w:lvl>
    <w:lvl w:ilvl="8">
      <w:start w:val="1"/>
      <w:numFmt w:val="lowerRoman"/>
      <w:suff w:val="tab"/>
      <w:lvlText w:val="%9."/>
      <w:pPr>
        <w:spacing/>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pPr>
        <w:spacing/>
        <w:ind w:left="1080" w:hanging="360"/>
      </w:pPr>
      <w:rPr>
        <w:rFonts w:ascii="Symbol" w:eastAsia="Symbol" w:hAnsi="Symbol" w:cs="Symbol"/>
      </w:rPr>
    </w:lvl>
    <w:lvl w:ilvl="1">
      <w:start w:val="1"/>
      <w:numFmt w:val="bullet"/>
      <w:suff w:val="tab"/>
      <w:lvlText w:val="o"/>
      <w:pPr>
        <w:spacing/>
        <w:ind w:left="1800" w:hanging="360"/>
      </w:pPr>
      <w:rPr>
        <w:rFonts w:ascii="Courier New" w:eastAsia="Courier New" w:hAnsi="Courier New" w:cs="Courier New"/>
      </w:rPr>
    </w:lvl>
    <w:lvl w:ilvl="2">
      <w:start w:val="1"/>
      <w:numFmt w:val="bullet"/>
      <w:suff w:val="tab"/>
      <w:lvlText w:val=""/>
      <w:pPr>
        <w:spacing/>
        <w:ind w:left="2520" w:hanging="360"/>
      </w:pPr>
      <w:rPr>
        <w:rFonts w:ascii="Wingdings" w:eastAsia="Wingdings" w:hAnsi="Wingdings" w:cs="Wingdings"/>
      </w:rPr>
    </w:lvl>
    <w:lvl w:ilvl="3">
      <w:start w:val="1"/>
      <w:numFmt w:val="bullet"/>
      <w:suff w:val="tab"/>
      <w:lvlText w:val=""/>
      <w:pPr>
        <w:spacing/>
        <w:ind w:left="3240" w:hanging="360"/>
      </w:pPr>
      <w:rPr>
        <w:rFonts w:ascii="Symbol" w:eastAsia="Symbol" w:hAnsi="Symbol" w:cs="Symbol"/>
      </w:rPr>
    </w:lvl>
    <w:lvl w:ilvl="4">
      <w:start w:val="1"/>
      <w:numFmt w:val="bullet"/>
      <w:suff w:val="tab"/>
      <w:lvlText w:val="o"/>
      <w:pPr>
        <w:spacing/>
        <w:ind w:left="3960" w:hanging="360"/>
      </w:pPr>
      <w:rPr>
        <w:rFonts w:ascii="Courier New" w:eastAsia="Courier New" w:hAnsi="Courier New" w:cs="Courier New"/>
      </w:rPr>
    </w:lvl>
    <w:lvl w:ilvl="5">
      <w:start w:val="1"/>
      <w:numFmt w:val="bullet"/>
      <w:suff w:val="tab"/>
      <w:lvlText w:val=""/>
      <w:pPr>
        <w:spacing/>
        <w:ind w:left="4680" w:hanging="360"/>
      </w:pPr>
      <w:rPr>
        <w:rFonts w:ascii="Wingdings" w:eastAsia="Wingdings" w:hAnsi="Wingdings" w:cs="Wingdings"/>
      </w:rPr>
    </w:lvl>
    <w:lvl w:ilvl="6">
      <w:start w:val="1"/>
      <w:numFmt w:val="bullet"/>
      <w:suff w:val="tab"/>
      <w:lvlText w:val=""/>
      <w:pPr>
        <w:spacing/>
        <w:ind w:left="5400" w:hanging="360"/>
      </w:pPr>
      <w:rPr>
        <w:rFonts w:ascii="Symbol" w:eastAsia="Symbol" w:hAnsi="Symbol" w:cs="Symbol"/>
      </w:rPr>
    </w:lvl>
    <w:lvl w:ilvl="7">
      <w:start w:val="1"/>
      <w:numFmt w:val="bullet"/>
      <w:suff w:val="tab"/>
      <w:lvlText w:val="o"/>
      <w:pPr>
        <w:spacing/>
        <w:ind w:left="6120" w:hanging="360"/>
      </w:pPr>
      <w:rPr>
        <w:rFonts w:ascii="Courier New" w:eastAsia="Courier New" w:hAnsi="Courier New" w:cs="Courier New"/>
      </w:rPr>
    </w:lvl>
    <w:lvl w:ilvl="8">
      <w:start w:val="1"/>
      <w:numFmt w:val="bullet"/>
      <w:suff w:val="tab"/>
      <w:lvlText w:val=""/>
      <w:pPr>
        <w:spacing/>
        <w:ind w:left="6840" w:hanging="360"/>
      </w:pPr>
      <w:rPr>
        <w:rFonts w:ascii="Wingdings" w:eastAsia="Wingdings" w:hAnsi="Wingdings" w:cs="Wingdings"/>
      </w:rPr>
    </w:lvl>
  </w:abstractNum>
  <w:abstractNum w:abstractNumId="2">
    <w:multiLevelType w:val="hybridMultilevel"/>
    <w:lvl w:ilvl="0">
      <w:start w:val="1"/>
      <w:numFmt w:val="bullet"/>
      <w:suff w:val="tab"/>
      <w:lvlText w:val=""/>
      <w:pPr>
        <w:spacing/>
        <w:ind w:left="720" w:hanging="360"/>
      </w:pPr>
      <w:rPr>
        <w:rFonts w:ascii="Symbol" w:eastAsia="Symbol" w:hAnsi="Symbol" w:cs="Symbo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3">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4">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5">
    <w:multiLevelType w:val="singleLevel"/>
    <w:lvl w:ilvl="0">
      <w:start w:val="0"/>
      <w:numFmt w:val="bullet"/>
      <w:suff w:val="tab"/>
      <w:lvlText w:val="-"/>
      <w:pPr>
        <w:tabs>
          <w:tab w:pos="360" w:val="num"/>
        </w:tabs>
        <w:spacing/>
        <w:ind w:left="360" w:hanging="360"/>
      </w:pPr>
      <w:rPr>
        <w:rFonts w:hint="default"/>
      </w:rPr>
    </w:lvl>
  </w:abstractNum>
  <w:abstractNum w:abstractNumId="6">
    <w:multiLevelType w:val="hybridMultilevel"/>
    <w:lvl w:ilvl="0">
      <w:start w:val="1"/>
      <w:numFmt w:val="decimal"/>
      <w:suff w:val="tab"/>
      <w:lvlText w:val="%1."/>
      <w:pPr>
        <w:tabs>
          <w:tab w:pos="720" w:val="num"/>
        </w:tabs>
        <w:spacing/>
        <w:ind w:left="720" w:hanging="360"/>
      </w:pPr>
      <w:rPr>
        <w:rFonts w:ascii="Times New Roman" w:eastAsia="Times New Roman" w:hAnsi="Times New Roman" w:cs="Times New Roman"/>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abstractNum w:abstractNumId="7">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8">
    <w:multiLevelType w:val="singleLevel"/>
    <w:lvl w:ilvl="0">
      <w:start w:val="0"/>
      <w:numFmt w:val="bullet"/>
      <w:suff w:val="tab"/>
      <w:lvlText w:val="-"/>
      <w:pPr>
        <w:tabs>
          <w:tab w:pos="360" w:val="num"/>
        </w:tabs>
        <w:spacing/>
        <w:ind w:left="360" w:hanging="360"/>
      </w:pPr>
      <w:rPr>
        <w:rFonts w:hint="default"/>
      </w:rPr>
    </w:lvl>
  </w:abstractNum>
  <w:abstractNum w:abstractNumId="9">
    <w:multiLevelType w:val="hybridMultilevel"/>
    <w:lvl w:ilvl="0">
      <w:start w:val="1"/>
      <w:numFmt w:val="bullet"/>
      <w:suff w:val="tab"/>
      <w:lvlText w:val=""/>
      <w:pPr>
        <w:tabs>
          <w:tab w:pos="720" w:val="num"/>
        </w:tabs>
        <w:spacing/>
        <w:ind w:left="720" w:hanging="360"/>
      </w:pPr>
      <w:rPr>
        <w:rFonts w:ascii="Symbol" w:eastAsia="Symbol" w:hAnsi="Symbol" w:cs="Symbol" w:hint="default"/>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percent="100"/>
  <w:proofState w:grammar="clean"/>
  <w:defaultTabStop w:val="720"/>
  <w:characterSpacingControl w:val="doNotCompress"/>
  <w:hyphenationZone w:val="425"/>
  <w:footnotePr>
    <w:pos w:val="pageBottom"/>
    <w:numFmt w:val="decimal"/>
    <w:numRestart w:val="continuous"/>
    <w:numStart w:val="1"/>
  </w:footnotePr>
  <w:endnotePr>
    <w:pos w:val="docEnd"/>
    <w:numFmt w:val="lowerRoman"/>
    <w:numRestart w:val="continuous"/>
    <w:numStart w:val="1"/>
  </w:endnotePr>
  <w:embedSystemFonts xmlns:w="http://schemas.openxmlformats.org/wordprocessingml/2006/main"/>
  <w:stylePaneFormatFilter xmlns:w="http://schemas.openxmlformats.org/wordprocessingml/2006/main"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noPunctuationKerning xmlns:w="http://schemas.openxmlformats.org/wordprocessingml/2006/main"/>
  <w:doNotIncludeSubdocsInStats xmlns:w="http://schemas.openxmlformats.org/wordprocessingml/2006/main"/>
  <w:decimalSymbol xmlns:w="http://schemas.openxmlformats.org/wordprocessingml/2006/main" w:val=","/>
  <w:listSeparator xmlns:w="http://schemas.openxmlformats.org/wordprocessingml/2006/main" w:val=";"/>
  <w14:docId xmlns:w14="http://schemas.microsoft.com/office/word/2010/wordml" w14:val="768EB6D0"/>
  <w15:chartTrackingRefBased xmlns:w15="http://schemas.microsoft.com/office/word/2012/wordml"/>
  <w15:docId xmlns:w15="http://schemas.microsoft.com/office/word/2012/wordml" w15:val="{4C4CE3F4-4D8E-466F-B4D7-75B8FBA31D6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pt-PT" w:eastAsia="zh-CN" w:bidi="ar-S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PT" w:eastAsia="pt-PT" w:bidi="ar-SA"/>
      </w:rPr>
    </w:rPrDefault>
    <w:pPrDefault>
      <w:pPr>
        <w:spacing/>
      </w:pPr>
    </w:pPrDefault>
  </w:docDefaults>
  <w:latentStyles xmlns:w="http://schemas.openxmlformats.org/wordprocessingml/2006/main"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 w:default="1">
    <w:name w:val="Normal"/>
    <w:next w:val="Normal"/>
    <w:qFormat/>
    <w:pPr>
      <w:spacing/>
    </w:pPr>
    <w:rPr>
      <w:sz w:val="24"/>
      <w:szCs w:val="24"/>
      <w:lang w:val="en-GB" w:eastAsia="en-US"/>
    </w:rPr>
  </w:style>
  <w:style w:type="paragraph" w:styleId="Ttulo1">
    <w:name w:val="Heading 1"/>
    <w:basedOn w:val="Normal"/>
    <w:next w:val="Normal"/>
    <w:qFormat/>
    <w:pPr>
      <w:keepNext/>
      <w:spacing/>
      <w:outlineLvl w:val="0"/>
    </w:pPr>
    <w:rPr>
      <w:b/>
      <w:lang w:val="pt-PT"/>
    </w:rPr>
  </w:style>
  <w:style w:type="character" w:styleId="Tipodeletrapredefinidodopargrafo" w:default="1">
    <w:name w:val="Default Paragraph Font"/>
    <w:semiHidden/>
    <w:unhideWhenUsed/>
    <w:rPr/>
  </w:style>
  <w:style w:type="table" w:styleId="Tabelanormal" w:default="1">
    <w:name w:val="Normal Table"/>
    <w:semiHidden/>
    <w:unhideWhenUsed/>
    <w:tblPr>
      <w:tblInd w:w="0" w:type="dxa"/>
      <w:tblCellMar>
        <w:top w:w="0" w:type="dxa"/>
        <w:left w:w="108" w:type="dxa"/>
        <w:bottom w:w="0" w:type="dxa"/>
        <w:right w:w="108" w:type="dxa"/>
      </w:tblCellMar>
    </w:tblPr>
  </w:style>
  <w:style w:type="paragraph" w:styleId="Avanodecorpodetexto">
    <w:name w:val="Body Text Indent"/>
    <w:basedOn w:val="Normal"/>
    <w:pPr>
      <w:spacing w:after="60"/>
      <w:ind w:left="2880" w:hanging="2880"/>
    </w:pPr>
    <w:rPr>
      <w:lang w:val="pt-PT"/>
    </w:rPr>
  </w:style>
  <w:style w:type="paragraph" w:styleId="Ttulo">
    <w:name w:val="Title"/>
    <w:basedOn w:val="Normal"/>
    <w:qFormat/>
    <w:pPr>
      <w:spacing/>
      <w:jc w:val="center"/>
    </w:pPr>
    <w:rPr>
      <w:sz w:val="40"/>
      <w:lang w:val="pt-PT"/>
    </w:rPr>
  </w:style>
  <w:style w:type="paragraph" w:styleId="Corpodetexto">
    <w:name w:val="Body Text"/>
    <w:basedOn w:val="Normal"/>
    <w:pPr>
      <w:pBdr>
        <w:top w:val="single" w:sz="4" w:space="1" w:color="000000"/>
        <w:left w:val="single" w:sz="4" w:space="4" w:color="000000"/>
        <w:bottom w:val="single" w:sz="4" w:space="1" w:color="000000"/>
        <w:right w:val="single" w:sz="4" w:space="4" w:color="000000"/>
      </w:pBdr>
      <w:spacing w:after="60"/>
    </w:pPr>
    <w:rPr>
      <w:lang w:val="pt-PT"/>
    </w:rPr>
  </w:style>
  <w:style w:type="paragraph" w:styleId="Subttulo">
    <w:name w:val="Subtitle"/>
    <w:basedOn w:val="Normal"/>
    <w:link w:val="SubtítuloCaráter"/>
    <w:next w:val="Normal"/>
    <w:qFormat/>
    <w:pPr>
      <w:spacing/>
      <w:jc w:val="center"/>
    </w:pPr>
    <w:rPr>
      <w:b/>
      <w:sz w:val="32"/>
      <w:lang w:val="pt-PT"/>
    </w:rPr>
  </w:style>
  <w:style w:type="paragraph" w:styleId="Cabealho">
    <w:name w:val="Header"/>
    <w:basedOn w:val="Normal"/>
    <w:next w:val="Normal"/>
    <w:pPr>
      <w:tabs>
        <w:tab w:pos="4252" w:val="center"/>
        <w:tab w:pos="8504" w:val="right"/>
      </w:tabs>
      <w:spacing/>
    </w:pPr>
    <w:rPr/>
  </w:style>
  <w:style w:type="paragraph" w:styleId="Rodap">
    <w:name w:val="Footer"/>
    <w:basedOn w:val="Normal"/>
    <w:next w:val="Normal"/>
    <w:pPr>
      <w:tabs>
        <w:tab w:pos="4252" w:val="center"/>
        <w:tab w:pos="8504" w:val="right"/>
      </w:tabs>
      <w:spacing/>
    </w:pPr>
    <w:rPr/>
  </w:style>
  <w:style w:type="character" w:styleId="Hiperligao">
    <w:name w:val="Hyperlink"/>
    <w:rPr>
      <w:color w:val="0000FF"/>
      <w:u w:val="single"/>
    </w:rPr>
  </w:style>
  <w:style w:type="paragraph" w:styleId="Corpodetexto2">
    <w:name w:val="Body Text 2"/>
    <w:basedOn w:val="Normal"/>
    <w:pPr>
      <w:spacing/>
      <w:jc w:val="both"/>
    </w:pPr>
    <w:rPr>
      <w:lang w:val="pt-PT"/>
    </w:rPr>
  </w:style>
  <w:style w:type="paragraph" w:styleId="Textodebalo">
    <w:name w:val="Balloon Text"/>
    <w:basedOn w:val="Normal"/>
    <w:semiHidden/>
    <w:pPr>
      <w:spacing/>
    </w:pPr>
    <w:rPr>
      <w:rFonts w:ascii="Tahoma" w:eastAsia="Tahoma" w:hAnsi="Tahoma" w:cs="Tahoma"/>
      <w:sz w:val="16"/>
      <w:szCs w:val="16"/>
    </w:rPr>
  </w:style>
  <w:style w:type="paragraph" w:styleId="Textodenotaderodap">
    <w:name w:val="Footnote Text"/>
    <w:basedOn w:val="Normal"/>
    <w:link w:val="TextodenotaderodapéCaráter"/>
    <w:semiHidden/>
    <w:pPr>
      <w:spacing/>
    </w:pPr>
    <w:rPr>
      <w:rFonts w:ascii="Calibri" w:eastAsia="Calibri" w:hAnsi="Calibri" w:cs="Calibri"/>
      <w:sz w:val="20"/>
      <w:szCs w:val="20"/>
      <w:lang w:val="pt-PT"/>
    </w:rPr>
  </w:style>
  <w:style w:type="character" w:styleId="TextodenotaderodapCarter" w:customStyle="1">
    <w:name w:val="Texto de nota de rodapé Caráter"/>
    <w:link w:val="FootnoteText"/>
    <w:semiHidden/>
    <w:rPr>
      <w:rFonts w:ascii="Calibri" w:eastAsia="Calibri" w:hAnsi="Calibri" w:cs="Calibri"/>
      <w:lang w:val="pt-PT" w:eastAsia="en-US" w:bidi="ar-SA"/>
    </w:rPr>
  </w:style>
  <w:style w:type="character" w:styleId="Refdenotaderodap">
    <w:name w:val="Footnote Reference"/>
    <w:semiHidden/>
    <w:rPr>
      <w:rFonts w:cs="Times New Roman"/>
      <w:vertAlign w:val="superscript"/>
    </w:rPr>
  </w:style>
  <w:style w:type="character" w:styleId="SubttuloCarter" w:customStyle="1">
    <w:name w:val="Subtítulo Caráter"/>
    <w:link w:val="Subtitle"/>
    <w:rPr>
      <w:b/>
      <w:sz w:val="32"/>
      <w:szCs w:val="24"/>
      <w:lang w:eastAsia="en-US"/>
    </w:rPr>
  </w:style>
  <w:style w:type="paragraph" w:styleId="PargrafodaLista">
    <w:name w:val="List Paragraph"/>
    <w:basedOn w:val="Normal"/>
    <w:next w:val="ListParagraph"/>
    <w:qFormat/>
    <w:pPr>
      <w:spacing/>
      <w:ind w:left="720"/>
      <w:contextualSpacing/>
    </w:pPr>
    <w:rPr/>
  </w:style>
  <w:style w:type="character" w:styleId="Hiperligaovisitada">
    <w:name w:val="FollowedHyperlink"/>
    <w:basedOn w:val="Tipodeletrapredefinidodopargrafo"/>
    <w:rPr>
      <w:color w:val="954F72"/>
      <w:u w:val="single"/>
    </w:rPr>
  </w:style>
  <w:style w:type="character" w:styleId="Forte">
    <w:name w:val="Strong"/>
    <w:basedOn w:val="Tipodeletrapredefinidodopargrafo"/>
    <w:qFormat/>
    <w:rPr>
      <w:b/>
      <w:bCs/>
    </w:rPr>
  </w:style>
</w:styles>
</file>

<file path=word/_rels/document.xml.rels>&#65279;<?xml version="1.0" encoding="utf-8" standalone="yes"?><Relationships xmlns="http://schemas.openxmlformats.org/package/2006/relationships"><Relationship Id="rId18" Type="http://schemas.openxmlformats.org/officeDocument/2006/relationships/styles" Target="styles.xml" /><Relationship Id="rId19" Type="http://schemas.openxmlformats.org/officeDocument/2006/relationships/settings" Target="settings.xml" /><Relationship Id="rId20" Type="http://schemas.openxmlformats.org/officeDocument/2006/relationships/numbering" Target="numbering.xml" /><Relationship Id="rId5" Type="http://schemas.openxmlformats.org/officeDocument/2006/relationships/footer" Target="footer5.xml" /><Relationship Id="rId4" Type="http://schemas.openxmlformats.org/officeDocument/2006/relationships/header" Target="header4.xml" /><Relationship Id="rId21" Type="http://schemas.openxmlformats.org/officeDocument/2006/relationships/fontTable" Target="fontTable.xml" /><Relationship Id="rId22" Type="http://schemas.openxmlformats.org/officeDocument/2006/relationships/theme" Target="theme/theme1.xml" /><Relationship Id="rId1" Type="http://schemas.openxmlformats.org/officeDocument/2006/relationships/hyperlink" Target="https://www.fct.pt/apoios/bolsas/valores" TargetMode="External" /><Relationship Id="rId2" Type="http://schemas.openxmlformats.org/officeDocument/2006/relationships/hyperlink" Target="http://www.campus.utad.pt" TargetMode="External" /><Relationship Id="rId3" Type="http://schemas.openxmlformats.org/officeDocument/2006/relationships/hyperlink" Target="http://www.campus.utad.pt/bolsasinvestigacao/lista" TargetMode="External" /></Relationships>
</file>

<file path=word/_rels/fontTable.xml.rels>&#65279;<?xml version="1.0" encoding="utf-8" standalone="yes"?><Relationships xmlns="http://schemas.openxmlformats.org/package/2006/relationships" />
</file>

<file path=word/_rels/footer5.xml.rels>&#65279;<?xml version="1.0" encoding="utf-8" standalone="yes"?><Relationships xmlns="http://schemas.openxmlformats.org/package/2006/relationships"><Relationship Id="rId7" Type="http://schemas.openxmlformats.org/officeDocument/2006/relationships/image" Target="media/image7.jpeg" /><Relationship Id="rId9" Type="http://schemas.openxmlformats.org/officeDocument/2006/relationships/image" Target="media/image9.jpeg" /><Relationship Id="rId11" Type="http://schemas.openxmlformats.org/officeDocument/2006/relationships/image" Target="media/image11.jpeg" /><Relationship Id="rId13" Type="http://schemas.openxmlformats.org/officeDocument/2006/relationships/image" Target="media/image13.jpeg" /><Relationship Id="rId15" Type="http://schemas.openxmlformats.org/officeDocument/2006/relationships/image" Target="media/image15.jpeg" /></Relationships>
</file>

<file path=word/_rels/header4.xml.rels>&#65279;<?xml version="1.0" encoding="utf-8" standalone="yes"?><Relationships xmlns="http://schemas.openxmlformats.org/package/2006/relationships"><Relationship Id="rId17" Type="http://schemas.openxmlformats.org/officeDocument/2006/relationships/image" Target="media/image17.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TotalTime>
  <Pages>3</Pages>
  <Words>751</Words>
  <Characters>4286</Characters>
  <CharactersWithSpaces>5027</CharactersWithSpaces>
  <Application>Microsoft Office Word</Application>
  <DocSecurity>0</DocSecurity>
  <Lines>35</Lines>
  <Paragraphs>10</Paragraphs>
  <Manager>Sara Alves Dias</Manager>
  <Company>Universidade de Trás-os-Montes e Alto Douro</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Concurso para Atribuição de Bolsa para Investigação</dc:title>
  <dc:subject/>
  <dc:creator>Campus UTAD</dc:creator>
  <cp:keywords/>
  <cp:lastModifiedBy>João Carlos Tomé Dias</cp:lastModifiedBy>
  <cp:lastPrinted>2011-05-05T09:43:00Z</cp:lastPrinted>
  <cp:revision>4</cp:revision>
  <dcterms:created xsi:type="dcterms:W3CDTF">2023-07-07T12:33:00Z</dcterms:created>
  <dcterms:modified xsi:type="dcterms:W3CDTF">2024-06-12T16:30:00Z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xd_Signature" pid="2">
    <vt:lpstr/>
  </property>
  <property fmtid="{D5CDD505-2E9C-101B-9397-08002B2CF9AE}" name="TemplateUrl" pid="3">
    <vt:lpstr/>
  </property>
  <property fmtid="{D5CDD505-2E9C-101B-9397-08002B2CF9AE}" name="xd_ProgID" pid="4">
    <vt:lpstr/>
  </property>
  <property fmtid="{D5CDD505-2E9C-101B-9397-08002B2CF9AE}" name="Order" pid="5">
    <vt:lpstr>47000.0000000000</vt:lpstr>
  </property>
  <property fmtid="{D5CDD505-2E9C-101B-9397-08002B2CF9AE}" name="_SourceUrl" pid="6">
    <vt:lpstr/>
  </property>
  <property fmtid="{D5CDD505-2E9C-101B-9397-08002B2CF9AE}" name="_SharedFileIndex" pid="7">
    <vt:lpstr/>
  </property>
  <property fmtid="{D5CDD505-2E9C-101B-9397-08002B2CF9AE}" name="_dlc_DocId" pid="8">
    <vt:lpstr>3SKTU6TMYEHH-1598-470</vt:lpstr>
  </property>
  <property fmtid="{D5CDD505-2E9C-101B-9397-08002B2CF9AE}" name="_dlc_DocIdItemGuid" pid="9">
    <vt:lpstr>032b757c-23ba-4bef-8115-d3aea944411e</vt:lpstr>
  </property>
  <property fmtid="{D5CDD505-2E9C-101B-9397-08002B2CF9AE}" name="_dlc_DocIdUrl" pid="10">
    <vt:lpstr>http:_x002F__x002F_utadweb_x002F_vPT_x002F_Area2_x002F_autad_x002F_reitoria_x002F__layouts_x002F_DocIdRedir.aspx_x003F_ID_x003D_3SKTU6TMYEHH-1598-470_x002C_ 3SKTU6TMYEHH-1598-470</vt:lpstr>
  </property>
</Properties>
</file>