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investigação — Atividades de I&amp;D a realizar por estudantes de doutoramento</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BI/UTAD/61/2026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investigação — Atividades de I&amp;D a realizar por estudantes de doutoramento</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ECOcrete3D - Desenvolvimento de novas formulações de betão, com incorporação de resíduos de incineração de RUs, para obtenção de uma habitação e de estruturas por impressão 3D.</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BI/UTAD/61/2026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Realizado ao abrigo do projeto "ECOcrete3D - Desenvolvimento de novas formulações de betão, com incorporação de escórias de incineração de RU, para obtenção de uma habitação e de estruturas por impressão 3D”, financiado pelo Fundo Europeu de Desenvolvimento Regional (FEDER), através de Incentivos à Investigação e Desenvolvimento, no âmbito do Programa Inovação e Transição Digital (COMPETE 2030).</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Engenharia</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Licenciatura em Engenharia Civil, Engenharia Química ou Engenharia de Materiais*;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Mestrado em Engenharia Civil, Engenharia Química, ou Engenharia de Materiais*;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3.º - Frequência de curso de Doutoramento em Engenharia Civil, Engenharia Química, ou Engenharia de Materiais*;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4.º - Experiência em investigação no domínio da engenharia de materiais, sendo dada preferência a candidatos com experiência na área cimentos alcalinos (geopolímeros);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5.º - Publicação de artigos científicos na área dos cimentos alcalinos, em revistas constantes da base de dados Web of Knowledge;</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6.º - Bons conhecimentos de inglês escrito e falado*;</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1.1</w:t>
        <w:tab/>
        <w:t xml:space="preserve">Atualização do estado da arte e identificação de limitações regulamentares para os novos ligantes a usar em argamassas e betões. 1.3</w:t>
        <w:tab/>
        <w:t xml:space="preserve">Seleção e caraterização das restantes matérias-primas a usar nas argamassas e betões para impressão 3D. 1.4</w:t>
        <w:tab/>
        <w:t xml:space="preserve">Quantificação da reatividade das escórias da incineração de RU's como precursores de reações alcalinas e como material pozolânico. 1.5</w:t>
        <w:tab/>
        <w:t xml:space="preserve">Otimização da reatividade pela preparação mecânica e física das escórias da incineração de RU's. 1.6</w:t>
        <w:tab/>
        <w:t xml:space="preserve">Desenvolvimento de;</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2.3</w:t>
        <w:tab/>
        <w:t xml:space="preserve">Desenvolvimento e otimização de duas argamassas (uma com o ligante alcalino e outra com baixo conteúdo de cimento Portland) para impressão 3D. 2.4</w:t>
        <w:tab/>
        <w:t xml:space="preserve">Desenvolvimento e otimização de dois betões (um com o ligante alcalino e outro com baixo conteúdo de cimento Portland) para impressão 3D.;</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3.2</w:t>
        <w:tab/>
        <w:t xml:space="preserve">Caraterização do estado fresco das quatro composições relativamente às propriedades requeridas para impressão 3D. 3.5</w:t>
        <w:tab/>
        <w:t xml:space="preserve">Avaliação das robustez das propriedades mecânicas e do estado fresco das composições relativamente à variação dos constituintes.;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6.3</w:t>
        <w:tab/>
        <w:t xml:space="preserve">Estudo de sustentabilidade e análise de ciclo de vida dos pilotos à escala real. 6.4</w:t>
        <w:tab/>
        <w:t xml:space="preserve">Validação dos novos produtos e tecnologia de construção por impressão 3D: vantagens e limitações e enquadramento normativo dos novos produtos.;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7.1</w:t>
        <w:tab/>
        <w:t xml:space="preserve">Redação de artigos científicos em co-autoria. 7.2</w:t>
        <w:tab/>
        <w:t xml:space="preserve">Participação em congressos científicos. 7.5</w:t>
        <w:tab/>
        <w:t xml:space="preserve">Organização de workshops técnicos. 7.6</w:t>
        <w:tab/>
        <w:t xml:space="preserve">Realização de seminário de divulgação de resultados.;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Departamento Engenharias, CQ-VR</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6</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Dezembro</w:t>
      </w:r>
      <w:r>
        <w:rPr>
          <w:rFonts w:ascii="Arial" w:eastAsia="Arial" w:hAnsi="Arial" w:cs="Arial"/>
          <w:sz w:val="20"/>
          <w:szCs w:val="20"/>
          <w:lang w:val="pt-PT"/>
        </w:rPr>
        <w:t xml:space="preserve"> de </w:t>
      </w:r>
      <w:r>
        <w:rPr>
          <w:rFonts w:ascii="Arial" w:eastAsia="Arial" w:hAnsi="Arial" w:cs="Arial"/>
          <w:sz w:val="20"/>
          <w:szCs w:val="20"/>
          <w:lang w:val="pt-PT"/>
        </w:rPr>
        <w:t xml:space="preserve">2026</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O contrato de bolsa poderá ser renovado, nos termos previstos do Regulamento de Bolsas da FCT (n.º 950/2019)</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€1359,64</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Avaliação curricular, Experiência e publicações e Entrevista</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40%, 30% e 30%</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NUNO MIGUEL CORDEIRO CRISTELO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LUÍS MANUEL DE OLIVEIRA SOUSA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JOSÉ RAMIRO AFONSO FERNANDES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Alfabeticamente</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20-10-2026</w:t>
      </w:r>
      <w:r>
        <w:rPr>
          <w:rFonts w:ascii="Arial" w:eastAsia="Arial" w:hAnsi="Arial" w:cs="Arial"/>
          <w:sz w:val="20"/>
          <w:szCs w:val="20"/>
          <w:lang w:val="pt-PT"/>
        </w:rPr>
        <w:t xml:space="preserve"> a </w:t>
      </w:r>
      <w:r>
        <w:rPr>
          <w:rFonts w:ascii="Arial" w:eastAsia="Arial" w:hAnsi="Arial" w:cs="Arial"/>
          <w:sz w:val="20"/>
          <w:szCs w:val="20"/>
          <w:lang w:val="pt-PT"/>
        </w:rPr>
        <w:t xml:space="preserve">02-11-2026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e Declaração sob compromisso de honra preenchido (que se encontra disponível na página de candidaturas)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