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5.xml" ContentType="application/vnd.openxmlformats-officedocument.wordprocessingml.footer+xml"/>
  <Override PartName="/word/header4.xml" ContentType="application/vnd.openxmlformats-officedocument.wordprocessingml.head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openxmlformats.org/drawingml/2006/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10/wordprocessingInk" xmlns:wps="http://schemas.microsoft.com/office/word/2010/wordprocessingShape" mc:Ignorable="w14 wp14">
  <w:body>
    <w:p>
      <w:pPr>
        <w:pStyle w:val="Subttulo"/>
        <w:spacing w:line="360" w:lineRule="auto"/>
        <w:rPr>
          <w:rFonts w:ascii="Arial" w:eastAsia="Arial" w:hAnsi="Arial" w:cs="Arial"/>
          <w:sz w:val="24"/>
          <w:szCs w:val="28"/>
        </w:rPr>
      </w:pPr>
      <w:r>
        <w:rPr>
          <w:rFonts w:ascii="Arial" w:eastAsia="Arial" w:hAnsi="Arial" w:cs="Arial"/>
          <w:sz w:val="24"/>
          <w:szCs w:val="28"/>
        </w:rPr>
        <w:t xml:space="preserve">Bolsas de investigação (estudantes inscritos num mestrado integrado, mestrado, doutoramento ou em curso não conferente de grau académico, Artigo 6º, Regulamento n.º 950/2019 da FCT).</w:t>
      </w:r>
    </w:p>
    <w:p>
      <w:pPr>
        <w:pStyle w:val="Subttulo"/>
        <w:spacing w:line="360" w:lineRule="auto"/>
        <w:rPr>
          <w:rFonts w:ascii="Arial" w:eastAsia="Arial" w:hAnsi="Arial" w:cs="Arial"/>
          <w:b w:val="0"/>
          <w:i/>
          <w:color w:val="0070C0"/>
          <w:sz w:val="20"/>
          <w:szCs w:val="20"/>
        </w:rPr>
      </w:pPr>
      <w:r>
        <w:rPr>
          <w:rFonts w:ascii="Arial" w:eastAsia="Arial" w:hAnsi="Arial" w:cs="Arial"/>
          <w:sz w:val="24"/>
          <w:szCs w:val="28"/>
        </w:rPr>
        <w:t xml:space="preserve">(</w:t>
      </w:r>
      <w:r>
        <w:rPr>
          <w:rFonts w:ascii="Arial" w:eastAsia="Arial" w:hAnsi="Arial" w:cs="Arial"/>
          <w:sz w:val="24"/>
          <w:szCs w:val="28"/>
        </w:rPr>
        <w:t xml:space="preserve">1 vaga</w:t>
      </w:r>
      <w:r>
        <w:rPr>
          <w:rFonts w:ascii="Arial" w:eastAsia="Arial" w:hAnsi="Arial" w:cs="Arial"/>
          <w:sz w:val="24"/>
          <w:szCs w:val="28"/>
        </w:rPr>
        <w:t xml:space="preserve">)</w:t>
      </w:r>
    </w:p>
    <w:p>
      <w:pPr>
        <w:pStyle w:val="Subttulo"/>
        <w:spacing w:line="360" w:lineRule="auto"/>
        <w:rPr>
          <w:rFonts w:ascii="Arial" w:eastAsia="Arial" w:hAnsi="Arial" w:cs="Arial"/>
          <w:sz w:val="24"/>
          <w:szCs w:val="28"/>
        </w:rPr>
      </w:pPr>
    </w:p>
    <w:p>
      <w:pPr>
        <w:pStyle w:val="Subttulo"/>
        <w:spacing w:line="360" w:lineRule="auto"/>
        <w:rPr>
          <w:rFonts w:ascii="Arial" w:eastAsia="Arial" w:hAnsi="Arial" w:cs="Arial"/>
          <w:sz w:val="24"/>
          <w:szCs w:val="28"/>
        </w:rPr>
      </w:pPr>
    </w:p>
    <w:p>
      <w:pPr>
        <w:pStyle w:val="Subttulo"/>
        <w:spacing w:line="360" w:lineRule="auto"/>
        <w:jc w:val="left"/>
        <w:rPr>
          <w:rFonts w:ascii="Arial" w:eastAsia="Arial" w:hAnsi="Arial" w:cs="Arial"/>
          <w:color w:val="0070C0"/>
          <w:sz w:val="20"/>
          <w:szCs w:val="20"/>
        </w:rPr>
      </w:pPr>
      <w:r>
        <w:rPr>
          <w:rFonts w:ascii="Arial" w:eastAsia="Arial" w:hAnsi="Arial" w:cs="Arial"/>
          <w:sz w:val="20"/>
          <w:szCs w:val="20"/>
        </w:rPr>
        <w:t xml:space="preserve">REFERÊNCIA: </w:t>
      </w:r>
      <w:r>
        <w:rPr>
          <w:rFonts w:ascii="Arial" w:eastAsia="Arial" w:hAnsi="Arial" w:cs="Arial"/>
          <w:sz w:val="20"/>
          <w:szCs w:val="20"/>
        </w:rPr>
        <w:t xml:space="preserve">BI/UTAD/65/2026</w:t>
      </w:r>
    </w:p>
    <w:p>
      <w:pPr>
        <w:pStyle w:val="Subttulo"/>
        <w:spacing w:line="360" w:lineRule="auto"/>
        <w:rPr/>
      </w:pPr>
    </w:p>
    <w:p>
      <w:pPr>
        <w:spacing w:line="360" w:lineRule="auto"/>
        <w:jc w:val="both"/>
        <w:rPr>
          <w:rFonts w:ascii="Arial" w:eastAsia="Arial" w:hAnsi="Arial" w:cs="Arial"/>
          <w:i/>
          <w:sz w:val="20"/>
          <w:szCs w:val="20"/>
          <w:lang w:val="pt-PT"/>
        </w:rPr>
      </w:pPr>
      <w:r>
        <w:rPr>
          <w:rFonts w:ascii="Arial" w:eastAsia="Arial" w:hAnsi="Arial" w:cs="Arial"/>
          <w:sz w:val="20"/>
          <w:szCs w:val="20"/>
          <w:lang w:val="pt-PT"/>
        </w:rPr>
        <w:t xml:space="preserve">Encontra-se aberto concurso para a </w:t>
      </w:r>
      <w:r>
        <w:rPr>
          <w:rFonts w:ascii="Arial" w:eastAsia="Arial" w:hAnsi="Arial" w:cs="Arial"/>
          <w:sz w:val="20"/>
          <w:szCs w:val="20"/>
          <w:lang w:val="pt-PT"/>
        </w:rPr>
        <w:t xml:space="preserve">atribuição de 1</w:t>
      </w:r>
      <w:r>
        <w:rPr>
          <w:rFonts w:ascii="Arial" w:eastAsia="Arial" w:hAnsi="Arial" w:cs="Arial"/>
          <w:sz w:val="20"/>
          <w:szCs w:val="20"/>
          <w:lang w:val="pt-PT"/>
        </w:rPr>
        <w:t xml:space="preserve"> </w:t>
      </w:r>
      <w:r>
        <w:rPr>
          <w:rFonts w:ascii="Arial" w:eastAsia="Arial" w:hAnsi="Arial" w:cs="Arial"/>
          <w:sz w:val="20"/>
          <w:szCs w:val="20"/>
          <w:lang w:val="pt-PT"/>
        </w:rPr>
        <w:t xml:space="preserve">Bolsas de investigação (estudantes inscritos num mestrado integrado, mestrado, doutoramento ou em curso não conferente de grau académico, Artigo 6º, Regulamento n.º 950/2019 da FCT).</w:t>
      </w:r>
      <w:r>
        <w:rPr>
          <w:rFonts w:ascii="Arial" w:eastAsia="Arial" w:hAnsi="Arial" w:cs="Arial"/>
          <w:sz w:val="20"/>
          <w:szCs w:val="20"/>
          <w:lang w:val="pt-PT"/>
        </w:rPr>
        <w:t xml:space="preserve"> no âmbito do projeto/instituição de I&amp;D</w:t>
      </w:r>
      <w:r>
        <w:rPr>
          <w:rFonts w:ascii="Arial" w:eastAsia="Arial" w:hAnsi="Arial" w:cs="Arial"/>
          <w:sz w:val="20"/>
          <w:szCs w:val="20"/>
          <w:lang w:val="pt-PT"/>
        </w:rPr>
        <w:t xml:space="preserve"> DouroRisk - Prevenção e Mitigação de Riscos Naturais à Escala Local</w:t>
      </w:r>
      <w:r>
        <w:rPr>
          <w:rFonts w:ascii="Arial" w:eastAsia="Arial" w:hAnsi="Arial" w:cs="Arial"/>
          <w:sz w:val="20"/>
          <w:szCs w:val="20"/>
          <w:lang w:val="pt-PT"/>
        </w:rPr>
        <w:t xml:space="preserve">,</w:t>
      </w:r>
      <w:r>
        <w:rPr>
          <w:rFonts w:ascii="Arial" w:eastAsia="Arial" w:hAnsi="Arial" w:cs="Arial"/>
          <w:sz w:val="20"/>
          <w:szCs w:val="20"/>
          <w:lang w:val="pt-PT"/>
        </w:rPr>
        <w:t xml:space="preserve"> </w:t>
      </w:r>
      <w:r>
        <w:rPr>
          <w:rFonts w:ascii="Arial" w:eastAsia="Arial" w:hAnsi="Arial" w:cs="Arial"/>
          <w:sz w:val="20"/>
          <w:szCs w:val="20"/>
          <w:lang w:val="pt-PT"/>
        </w:rPr>
        <w:t xml:space="preserve">BI/UTAD/65/2026</w:t>
      </w:r>
      <w:r>
        <w:rPr>
          <w:rFonts w:ascii="Arial" w:eastAsia="Arial" w:hAnsi="Arial" w:cs="Arial"/>
          <w:sz w:val="20"/>
          <w:szCs w:val="20"/>
          <w:lang w:val="pt-PT"/>
        </w:rPr>
        <w:t xml:space="preserve">,</w:t>
      </w:r>
      <w:r>
        <w:rPr>
          <w:rFonts w:ascii="Arial" w:eastAsia="Arial" w:hAnsi="Arial" w:cs="Arial"/>
          <w:sz w:val="20"/>
          <w:szCs w:val="20"/>
          <w:lang w:val="pt-PT"/>
        </w:rPr>
        <w:t xml:space="preserve"> financiado por </w:t>
      </w:r>
      <w:r>
        <w:rPr>
          <w:rFonts w:ascii="Arial" w:eastAsia="Arial" w:hAnsi="Arial" w:cs="Arial"/>
          <w:sz w:val="20"/>
          <w:szCs w:val="20"/>
          <w:lang w:val="pt-PT"/>
        </w:rPr>
        <w:t xml:space="preserve">Fundação ''La Caixa'' no âmbito do concurso Programa ''Promove. O futuro do interior.'', em colaboração com o BPI e em parceria com a Fundação para a Ciência e a Tecnologia.</w:t>
      </w:r>
      <w:r>
        <w:rPr>
          <w:rFonts w:ascii="Arial" w:eastAsia="Arial" w:hAnsi="Arial" w:cs="Arial"/>
          <w:sz w:val="20"/>
          <w:szCs w:val="20"/>
          <w:lang w:val="pt-PT"/>
        </w:rPr>
        <w:t xml:space="preserve">, nas </w:t>
      </w:r>
      <w:r>
        <w:rPr>
          <w:rFonts w:ascii="Arial" w:eastAsia="Arial" w:hAnsi="Arial" w:cs="Arial"/>
          <w:sz w:val="20"/>
          <w:szCs w:val="20"/>
          <w:lang w:val="pt-PT"/>
        </w:rPr>
        <w:t xml:space="preserve">seguintes condições:</w:t>
      </w:r>
    </w:p>
    <w:p>
      <w:pPr>
        <w:spacing w:line="360" w:lineRule="auto"/>
        <w:jc w:val="both"/>
        <w:rPr>
          <w:rFonts w:ascii="Arial" w:eastAsia="Arial" w:hAnsi="Arial" w:cs="Arial"/>
          <w:b/>
          <w:sz w:val="20"/>
          <w:szCs w:val="20"/>
          <w:lang w:val="pt-PT"/>
        </w:rPr>
      </w:pPr>
    </w:p>
    <w:p>
      <w:pPr>
        <w:spacing w:line="360" w:lineRule="auto"/>
        <w:jc w:val="both"/>
        <w:rPr>
          <w:rFonts w:ascii="Arial" w:eastAsia="Arial" w:hAnsi="Arial" w:cs="Arial"/>
          <w:sz w:val="20"/>
          <w:szCs w:val="20"/>
          <w:lang w:val="pt-PT"/>
        </w:rPr>
      </w:pPr>
      <w:r>
        <w:rPr>
          <w:rFonts w:ascii="Arial" w:eastAsia="Arial" w:hAnsi="Arial" w:cs="Arial"/>
          <w:b/>
          <w:sz w:val="20"/>
          <w:szCs w:val="20"/>
          <w:lang w:val="pt-PT"/>
        </w:rPr>
        <w:t xml:space="preserve">Área Científica</w:t>
      </w:r>
      <w:r>
        <w:rPr>
          <w:rFonts w:ascii="Arial" w:eastAsia="Arial" w:hAnsi="Arial" w:cs="Arial"/>
          <w:sz w:val="20"/>
          <w:szCs w:val="20"/>
          <w:lang w:val="pt-PT"/>
        </w:rPr>
        <w:t xml:space="preserve">:</w:t>
      </w:r>
    </w:p>
    <w:p>
      <w:pPr>
        <w:spacing w:line="360" w:lineRule="auto"/>
        <w:jc w:val="both"/>
        <w:rPr>
          <w:rFonts w:ascii="Arial" w:eastAsia="Arial" w:hAnsi="Arial" w:cs="Arial"/>
          <w:i/>
          <w:color w:val="0070C0"/>
          <w:sz w:val="18"/>
          <w:szCs w:val="18"/>
          <w:lang w:val="pt-PT"/>
        </w:rPr>
      </w:pPr>
      <w:r>
        <w:rPr>
          <w:rFonts w:ascii="Arial" w:eastAsia="Arial" w:hAnsi="Arial" w:cs="Arial"/>
          <w:sz w:val="20"/>
          <w:szCs w:val="20"/>
          <w:lang w:val="pt-PT"/>
        </w:rPr>
        <w:t xml:space="preserve">Engenharia</w:t>
      </w:r>
    </w:p>
    <w:p>
      <w:pPr>
        <w:spacing w:line="360" w:lineRule="auto"/>
        <w:jc w:val="both"/>
        <w:rPr>
          <w:rFonts w:ascii="Arial" w:eastAsia="Arial" w:hAnsi="Arial" w:cs="Arial"/>
          <w:sz w:val="20"/>
          <w:szCs w:val="20"/>
          <w:lang w:val="pt-PT"/>
        </w:rPr>
      </w:pPr>
    </w:p>
    <w:p>
      <w:pPr>
        <w:spacing w:line="360" w:lineRule="auto"/>
        <w:jc w:val="both"/>
        <w:rPr>
          <w:rFonts w:ascii="Arial" w:eastAsia="Arial" w:hAnsi="Arial" w:cs="Arial"/>
          <w:b/>
          <w:sz w:val="20"/>
          <w:szCs w:val="20"/>
          <w:lang w:val="pt-PT"/>
        </w:rPr>
      </w:pPr>
      <w:r>
        <w:rPr>
          <w:rFonts w:ascii="Arial" w:eastAsia="Arial" w:hAnsi="Arial" w:cs="Arial"/>
          <w:b/>
          <w:sz w:val="20"/>
          <w:szCs w:val="20"/>
          <w:lang w:val="pt-PT"/>
        </w:rPr>
        <w:t xml:space="preserve">Requisitos de admissã</w:t>
      </w:r>
      <w:r>
        <w:rPr>
          <w:rFonts w:ascii="Arial" w:eastAsia="Arial" w:hAnsi="Arial" w:cs="Arial"/>
          <w:b/>
          <w:sz w:val="20"/>
          <w:szCs w:val="20"/>
          <w:lang w:val="pt-PT"/>
        </w:rPr>
        <w:t xml:space="preserve">o:</w:t>
      </w:r>
    </w:p>
    <w:p>
      <w:pPr>
        <w:spacing w:line="360" w:lineRule="auto"/>
        <w:jc w:val="both"/>
        <w:rPr>
          <w:rFonts w:ascii="Arial" w:eastAsia="Arial" w:hAnsi="Arial" w:cs="Arial"/>
          <w:color w:val="0070C0"/>
          <w:sz w:val="18"/>
          <w:szCs w:val="18"/>
          <w:lang w:val="pt-PT"/>
        </w:rPr>
      </w:pPr>
      <w:r>
        <w:rPr>
          <w:rFonts w:ascii="Arial" w:eastAsia="Arial" w:hAnsi="Arial" w:cs="Arial"/>
          <w:sz w:val="20"/>
          <w:szCs w:val="20"/>
          <w:lang w:val="pt-PT"/>
        </w:rPr>
        <w:t xml:space="preserve">1.º - Licenciatura em Engenharia Eletrotécnica e de Computadores*;</w:t>
      </w:r>
    </w:p>
    <w:p>
      <w:pPr>
        <w:pageBreakBefore w:val="0"/>
        <w:spacing w:line="360" w:lineRule="auto"/>
        <w:jc w:val="both"/>
        <w:rPr>
          <w:rFonts w:ascii="Arial" w:eastAsia="Arial" w:hAnsi="Arial" w:cs="Arial"/>
          <w:color w:val="0070C0"/>
          <w:sz w:val="18"/>
          <w:szCs w:val="18"/>
          <w:lang w:val="pt-PT"/>
        </w:rPr>
      </w:pPr>
      <w:r>
        <w:rPr>
          <w:rFonts w:ascii="Arial" w:eastAsia="Arial" w:hAnsi="Arial" w:cs="Arial"/>
          <w:sz w:val="20"/>
          <w:szCs w:val="20"/>
          <w:lang w:val="pt-PT"/>
        </w:rPr>
        <w:t xml:space="preserve">2.º - Formação ou experiência comprovada nas áreas de eletrónica, sensores e comunicação sem fios*;</w:t>
      </w:r>
    </w:p>
    <w:p>
      <w:pPr>
        <w:pageBreakBefore w:val="0"/>
        <w:spacing w:line="360" w:lineRule="auto"/>
        <w:jc w:val="both"/>
        <w:rPr>
          <w:rFonts w:ascii="Arial" w:eastAsia="Arial" w:hAnsi="Arial" w:cs="Arial"/>
          <w:color w:val="0070C0"/>
          <w:sz w:val="18"/>
          <w:szCs w:val="18"/>
          <w:lang w:val="pt-PT"/>
        </w:rPr>
      </w:pPr>
      <w:r>
        <w:rPr>
          <w:rFonts w:ascii="Arial" w:eastAsia="Arial" w:hAnsi="Arial" w:cs="Arial"/>
          <w:sz w:val="20"/>
          <w:szCs w:val="20"/>
          <w:lang w:val="pt-PT"/>
        </w:rPr>
        <w:t xml:space="preserve">3.º - Capacidade de trabalho de campo e integração em equipa de investigação em ambiente rural*;</w:t>
      </w:r>
    </w:p>
    <w:p>
      <w:pPr>
        <w:pageBreakBefore w:val="0"/>
        <w:spacing w:line="360" w:lineRule="auto"/>
        <w:jc w:val="both"/>
        <w:rPr>
          <w:rFonts w:ascii="Arial" w:eastAsia="Arial" w:hAnsi="Arial" w:cs="Arial"/>
          <w:color w:val="0070C0"/>
          <w:sz w:val="18"/>
          <w:szCs w:val="18"/>
          <w:lang w:val="pt-PT"/>
        </w:rPr>
      </w:pPr>
      <w:r>
        <w:rPr>
          <w:rFonts w:ascii="Arial" w:eastAsia="Arial" w:hAnsi="Arial" w:cs="Arial"/>
          <w:sz w:val="20"/>
          <w:szCs w:val="20"/>
          <w:lang w:val="pt-PT"/>
        </w:rPr>
        <w:t xml:space="preserve">4.º - Disponibilidade imediata*;</w:t>
      </w:r>
    </w:p>
    <w:p>
      <w:pPr>
        <w:pageBreakBefore w:val="0"/>
        <w:spacing w:line="360" w:lineRule="auto"/>
        <w:jc w:val="both"/>
        <w:rPr>
          <w:rFonts w:ascii="Arial" w:eastAsia="Arial" w:hAnsi="Arial" w:cs="Arial"/>
          <w:color w:val="0070C0"/>
          <w:sz w:val="18"/>
          <w:szCs w:val="18"/>
          <w:lang w:val="pt-PT"/>
        </w:rPr>
      </w:pPr>
      <w:r>
        <w:rPr>
          <w:rFonts w:ascii="Arial" w:eastAsia="Arial" w:hAnsi="Arial" w:cs="Arial"/>
          <w:sz w:val="20"/>
          <w:szCs w:val="20"/>
          <w:lang w:val="pt-PT"/>
        </w:rPr>
        <w:t xml:space="preserve">5.º - Cumprir com o disposto no Regulamento de Bolsas de Investigação da FCT (RBI nº 950/2019), designadamente com o articulado do Artigo 6º*;</w:t>
      </w:r>
    </w:p>
    <w:p>
      <w:pPr>
        <w:pageBreakBefore w:val="0"/>
        <w:spacing w:line="360" w:lineRule="auto"/>
        <w:jc w:val="both"/>
        <w:rPr>
          <w:rFonts w:ascii="Arial" w:eastAsia="Arial" w:hAnsi="Arial" w:cs="Arial"/>
          <w:color w:val="0070C0"/>
          <w:sz w:val="18"/>
          <w:szCs w:val="18"/>
          <w:lang w:val="pt-PT"/>
        </w:rPr>
      </w:pPr>
      <w:r>
        <w:rPr>
          <w:rFonts w:ascii="Arial" w:eastAsia="Arial" w:hAnsi="Arial" w:cs="Arial"/>
          <w:sz w:val="20"/>
          <w:szCs w:val="20"/>
          <w:lang w:val="pt-PT"/>
        </w:rPr>
        <w:t xml:space="preserve">6.º - Serão particularmente valorizados(as) candidatos(as) que demonstrem:</w:t>
      </w:r>
    </w:p>
    <w:p>
      <w:pPr>
        <w:pageBreakBefore w:val="0"/>
        <w:spacing w:line="360" w:lineRule="auto"/>
        <w:jc w:val="both"/>
        <w:rPr>
          <w:rFonts w:ascii="Arial" w:eastAsia="Arial" w:hAnsi="Arial" w:cs="Arial"/>
          <w:color w:val="0070C0"/>
          <w:sz w:val="18"/>
          <w:szCs w:val="18"/>
          <w:lang w:val="pt-PT"/>
        </w:rPr>
      </w:pPr>
      <w:r>
        <w:rPr>
          <w:rFonts w:ascii="Arial" w:eastAsia="Arial" w:hAnsi="Arial" w:cs="Arial"/>
          <w:sz w:val="20"/>
          <w:szCs w:val="20"/>
          <w:lang w:val="pt-PT"/>
        </w:rPr>
        <w:t xml:space="preserve">- Capacidade de trabalho em equipa multidisciplinar;</w:t>
      </w:r>
    </w:p>
    <w:p>
      <w:pPr>
        <w:pageBreakBefore w:val="0"/>
        <w:spacing w:line="360" w:lineRule="auto"/>
        <w:jc w:val="both"/>
        <w:rPr>
          <w:rFonts w:ascii="Arial" w:eastAsia="Arial" w:hAnsi="Arial" w:cs="Arial"/>
          <w:color w:val="0070C0"/>
          <w:sz w:val="18"/>
          <w:szCs w:val="18"/>
          <w:lang w:val="pt-PT"/>
        </w:rPr>
      </w:pPr>
      <w:r>
        <w:rPr>
          <w:rFonts w:ascii="Arial" w:eastAsia="Arial" w:hAnsi="Arial" w:cs="Arial"/>
          <w:sz w:val="20"/>
          <w:szCs w:val="20"/>
          <w:lang w:val="pt-PT"/>
        </w:rPr>
        <w:t xml:space="preserve">- Domínio das línguas inglesa e portuguesa (oral e escrita);</w:t>
      </w:r>
    </w:p>
    <w:p>
      <w:pPr>
        <w:pageBreakBefore w:val="0"/>
        <w:spacing w:line="360" w:lineRule="auto"/>
        <w:jc w:val="both"/>
        <w:rPr>
          <w:rFonts w:ascii="Arial" w:eastAsia="Arial" w:hAnsi="Arial" w:cs="Arial"/>
          <w:color w:val="0070C0"/>
          <w:sz w:val="18"/>
          <w:szCs w:val="18"/>
          <w:lang w:val="pt-PT"/>
        </w:rPr>
      </w:pPr>
      <w:r>
        <w:rPr>
          <w:rFonts w:ascii="Arial" w:eastAsia="Arial" w:hAnsi="Arial" w:cs="Arial"/>
          <w:sz w:val="20"/>
          <w:szCs w:val="20"/>
          <w:lang w:val="pt-PT"/>
        </w:rPr>
        <w:t xml:space="preserve">- Conhecimento complementar relevante em comunicação técnica ou divulgação científica aplicáveis à preparação de documentação e atividades de disseminação e transferência de conhecimento.;</w:t>
      </w:r>
    </w:p>
    <w:p>
      <w:pPr>
        <w:spacing w:line="360" w:lineRule="auto"/>
        <w:jc w:val="both"/>
        <w:rPr>
          <w:rFonts w:ascii="Arial" w:eastAsia="Arial" w:hAnsi="Arial" w:cs="Arial"/>
          <w:color w:val="0070C0"/>
          <w:sz w:val="18"/>
          <w:szCs w:val="18"/>
          <w:lang w:val="pt-PT"/>
        </w:rPr>
      </w:pPr>
    </w:p>
    <w:p>
      <w:pPr>
        <w:spacing w:line="360" w:lineRule="auto"/>
        <w:jc w:val="both"/>
        <w:rPr>
          <w:rFonts w:ascii="Arial" w:eastAsia="Arial" w:hAnsi="Arial" w:cs="Arial"/>
          <w:sz w:val="16"/>
          <w:szCs w:val="20"/>
          <w:lang w:val="pt-PT"/>
        </w:rPr>
      </w:pPr>
      <w:r>
        <w:rPr>
          <w:rFonts w:ascii="Arial" w:eastAsia="Arial" w:hAnsi="Arial" w:cs="Arial"/>
          <w:sz w:val="16"/>
          <w:szCs w:val="20"/>
          <w:lang w:val="pt-PT"/>
        </w:rPr>
        <w:t xml:space="preserve">* fator eliminatório</w:t>
      </w:r>
    </w:p>
    <w:p>
      <w:pPr>
        <w:spacing w:line="360" w:lineRule="auto"/>
        <w:jc w:val="both"/>
        <w:rPr>
          <w:rFonts w:ascii="Arial" w:eastAsia="Arial" w:hAnsi="Arial" w:cs="Arial"/>
          <w:sz w:val="20"/>
          <w:szCs w:val="20"/>
          <w:lang w:val="pt-PT"/>
        </w:rPr>
      </w:pPr>
    </w:p>
    <w:p>
      <w:pPr>
        <w:spacing w:line="360" w:lineRule="auto"/>
        <w:jc w:val="both"/>
        <w:rPr>
          <w:rFonts w:ascii="Arial" w:eastAsia="Arial" w:hAnsi="Arial" w:cs="Arial"/>
          <w:sz w:val="20"/>
          <w:szCs w:val="20"/>
          <w:lang w:val="pt-PT"/>
        </w:rPr>
      </w:pPr>
      <w:r>
        <w:rPr>
          <w:rFonts w:ascii="Arial" w:eastAsia="Arial" w:hAnsi="Arial" w:cs="Arial"/>
          <w:b/>
          <w:sz w:val="20"/>
          <w:szCs w:val="20"/>
          <w:lang w:val="pt-PT"/>
        </w:rPr>
        <w:t xml:space="preserve">Plano de trabalhos</w:t>
      </w:r>
      <w:r>
        <w:rPr>
          <w:rFonts w:ascii="Arial" w:eastAsia="Arial" w:hAnsi="Arial" w:cs="Arial"/>
          <w:sz w:val="20"/>
          <w:szCs w:val="20"/>
          <w:lang w:val="pt-PT"/>
        </w:rPr>
        <w:t xml:space="preserve">:</w:t>
      </w:r>
    </w:p>
    <w:p>
      <w:pPr>
        <w:spacing w:line="360" w:lineRule="auto"/>
        <w:jc w:val="both"/>
        <w:rPr>
          <w:rFonts w:ascii="Arial" w:eastAsia="Arial" w:hAnsi="Arial" w:cs="Arial"/>
          <w:color w:val="0070C0"/>
          <w:sz w:val="18"/>
          <w:szCs w:val="18"/>
          <w:lang w:val="pt-PT"/>
        </w:rPr>
      </w:pPr>
      <w:r>
        <w:rPr>
          <w:rFonts w:ascii="Arial" w:eastAsia="Arial" w:hAnsi="Arial" w:cs="Arial"/>
          <w:sz w:val="20"/>
          <w:szCs w:val="20"/>
          <w:lang w:val="pt-PT"/>
        </w:rPr>
        <w:t xml:space="preserve">Tarefa 1 – Revisão da literatura e enquadramento científico:  - Revisão sistemática da literatura relacionada com monitorização de riscos naturais e soluções similares;  - Identificação de metodologias e boas práticas aplicáveis ao projeto;  - Produção de relatórios de enquadramento científico.;</w:t>
      </w:r>
    </w:p>
    <w:p>
      <w:pPr>
        <w:pageBreakBefore w:val="0"/>
        <w:spacing w:line="360" w:lineRule="auto"/>
        <w:jc w:val="both"/>
        <w:rPr>
          <w:rFonts w:ascii="Arial" w:eastAsia="Arial" w:hAnsi="Arial" w:cs="Arial"/>
          <w:color w:val="0070C0"/>
          <w:sz w:val="18"/>
          <w:szCs w:val="18"/>
          <w:lang w:val="pt-PT"/>
        </w:rPr>
      </w:pPr>
      <w:r>
        <w:rPr>
          <w:rFonts w:ascii="Arial" w:eastAsia="Arial" w:hAnsi="Arial" w:cs="Arial"/>
          <w:sz w:val="20"/>
          <w:szCs w:val="20"/>
          <w:lang w:val="pt-PT"/>
        </w:rPr>
        <w:t xml:space="preserve">Tarefa 2 – Levantamento e análise de requisitos: - Identificação de requisitos técnicos e especificações dos sensores necessários.;</w:t>
      </w:r>
    </w:p>
    <w:p>
      <w:pPr>
        <w:pageBreakBefore w:val="0"/>
        <w:spacing w:line="360" w:lineRule="auto"/>
        <w:jc w:val="both"/>
        <w:rPr>
          <w:rFonts w:ascii="Arial" w:eastAsia="Arial" w:hAnsi="Arial" w:cs="Arial"/>
          <w:color w:val="0070C0"/>
          <w:sz w:val="18"/>
          <w:szCs w:val="18"/>
          <w:lang w:val="pt-PT"/>
        </w:rPr>
      </w:pPr>
      <w:r>
        <w:rPr>
          <w:rFonts w:ascii="Arial" w:eastAsia="Arial" w:hAnsi="Arial" w:cs="Arial"/>
          <w:sz w:val="20"/>
          <w:szCs w:val="20"/>
          <w:lang w:val="pt-PT"/>
        </w:rPr>
        <w:t xml:space="preserve">Tarefa 3 – Desenvolvimento:  - Apoio na aquisição e teste de sensores e módulos de comunicação (LoRaWAN) em ambiente de laboratório; - Desenvolvimento dos primeiros protótipos; - Instalação piloto da rede de sensores no domínio de estudo do projeto; - Testes de comunicação, autonomia energética e fiabilidade dos dados recolhidos.;</w:t>
      </w:r>
    </w:p>
    <w:p>
      <w:pPr>
        <w:pageBreakBefore w:val="0"/>
        <w:spacing w:line="360" w:lineRule="auto"/>
        <w:jc w:val="both"/>
        <w:rPr>
          <w:rFonts w:ascii="Arial" w:eastAsia="Arial" w:hAnsi="Arial" w:cs="Arial"/>
          <w:color w:val="0070C0"/>
          <w:sz w:val="18"/>
          <w:szCs w:val="18"/>
          <w:lang w:val="pt-PT"/>
        </w:rPr>
      </w:pPr>
      <w:r>
        <w:rPr>
          <w:rFonts w:ascii="Arial" w:eastAsia="Arial" w:hAnsi="Arial" w:cs="Arial"/>
          <w:sz w:val="20"/>
          <w:szCs w:val="20"/>
          <w:lang w:val="pt-PT"/>
        </w:rPr>
        <w:t xml:space="preserve">Tarefa 4 – Calibração, validação e demonstração: - Calibração dos sensores no terreno e recolha sistemática de dados; - Tratamento preliminar dos dados e validação com métodos convencionais de medição dos parâmetros meteorológicos e ambientais; - Apoio à implementação piloto na plataforma.;</w:t>
      </w:r>
    </w:p>
    <w:p>
      <w:pPr>
        <w:pageBreakBefore w:val="0"/>
        <w:spacing w:line="360" w:lineRule="auto"/>
        <w:jc w:val="both"/>
        <w:rPr>
          <w:rFonts w:ascii="Arial" w:eastAsia="Arial" w:hAnsi="Arial" w:cs="Arial"/>
          <w:color w:val="0070C0"/>
          <w:sz w:val="18"/>
          <w:szCs w:val="18"/>
          <w:lang w:val="pt-PT"/>
        </w:rPr>
      </w:pPr>
      <w:r>
        <w:rPr>
          <w:rFonts w:ascii="Arial" w:eastAsia="Arial" w:hAnsi="Arial" w:cs="Arial"/>
          <w:sz w:val="20"/>
          <w:szCs w:val="20"/>
          <w:lang w:val="pt-PT"/>
        </w:rPr>
        <w:t xml:space="preserve">Tarefa 5 – Desenvolvimento e validação de modelos preditivos: - Apoio na integração dos dados com algoritmos de Machine Learning, em colaboração com a equipa de ciência de dados; - Início do desenvolvimento de modelos preditivos; - Validação dos modelos de mapeamento de risco com dados reais; - Análise comparativa e sugestões de otimização.;</w:t>
      </w:r>
    </w:p>
    <w:p>
      <w:pPr>
        <w:pageBreakBefore w:val="0"/>
        <w:spacing w:line="360" w:lineRule="auto"/>
        <w:jc w:val="both"/>
        <w:rPr>
          <w:rFonts w:ascii="Arial" w:eastAsia="Arial" w:hAnsi="Arial" w:cs="Arial"/>
          <w:color w:val="0070C0"/>
          <w:sz w:val="18"/>
          <w:szCs w:val="18"/>
          <w:lang w:val="pt-PT"/>
        </w:rPr>
      </w:pPr>
      <w:r>
        <w:rPr>
          <w:rFonts w:ascii="Arial" w:eastAsia="Arial" w:hAnsi="Arial" w:cs="Arial"/>
          <w:sz w:val="20"/>
          <w:szCs w:val="20"/>
          <w:lang w:val="pt-PT"/>
        </w:rPr>
        <w:t xml:space="preserve">Tarefa 6 – Produção científica e disseminação:  - Participação na elaboração de relatórios técnicos e científicos;  - Preparação e submissão de artigos científicos para conferências e revistas internacionais;  - Participação em eventos científicos para apresentação dos resultados do projeto;  - Apoio às atividades de disseminação dos resultados do projeto junto dos stakeholders e de transferência de conhecimento; - Elaboração do relatório final de atividades.;</w:t>
      </w:r>
    </w:p>
    <w:p>
      <w:pPr>
        <w:spacing w:line="360" w:lineRule="auto"/>
        <w:jc w:val="both"/>
        <w:rPr>
          <w:rFonts w:ascii="Arial" w:eastAsia="Arial" w:hAnsi="Arial" w:cs="Arial"/>
          <w:color w:val="0070C0"/>
          <w:sz w:val="18"/>
          <w:szCs w:val="18"/>
          <w:lang w:val="pt-PT"/>
        </w:rPr>
      </w:pPr>
    </w:p>
    <w:p>
      <w:pPr>
        <w:spacing w:line="360" w:lineRule="auto"/>
        <w:jc w:val="both"/>
        <w:rPr>
          <w:rFonts w:ascii="Arial" w:eastAsia="Arial" w:hAnsi="Arial" w:cs="Arial"/>
          <w:sz w:val="20"/>
          <w:szCs w:val="20"/>
          <w:lang w:val="pt-PT"/>
        </w:rPr>
      </w:pPr>
    </w:p>
    <w:p>
      <w:pPr>
        <w:spacing w:line="360" w:lineRule="auto"/>
        <w:jc w:val="both"/>
        <w:rPr>
          <w:rFonts w:ascii="Arial" w:eastAsia="Arial" w:hAnsi="Arial" w:cs="Arial"/>
          <w:sz w:val="20"/>
          <w:szCs w:val="20"/>
          <w:lang w:val="pt-PT"/>
        </w:rPr>
      </w:pPr>
      <w:r>
        <w:rPr>
          <w:rFonts w:ascii="Arial" w:eastAsia="Arial" w:hAnsi="Arial" w:cs="Arial"/>
          <w:b/>
          <w:sz w:val="20"/>
          <w:szCs w:val="20"/>
          <w:lang w:val="pt-PT"/>
        </w:rPr>
        <w:t xml:space="preserve">Legislação e regulamentação aplicável</w:t>
      </w:r>
      <w:r>
        <w:rPr>
          <w:rFonts w:ascii="Arial" w:eastAsia="Arial" w:hAnsi="Arial" w:cs="Arial"/>
          <w:sz w:val="20"/>
          <w:szCs w:val="20"/>
          <w:lang w:val="pt-PT"/>
        </w:rPr>
        <w:t xml:space="preserve">:</w:t>
      </w:r>
    </w:p>
    <w:p>
      <w:pPr>
        <w:spacing w:line="360" w:lineRule="auto"/>
        <w:jc w:val="both"/>
        <w:rPr>
          <w:rFonts w:ascii="Arial" w:eastAsia="Arial" w:hAnsi="Arial" w:cs="Arial"/>
          <w:sz w:val="20"/>
          <w:szCs w:val="20"/>
          <w:lang w:val="pt-PT"/>
        </w:rPr>
      </w:pPr>
      <w:r>
        <w:rPr>
          <w:rFonts w:ascii="Arial" w:eastAsia="Arial" w:hAnsi="Arial" w:cs="Arial"/>
          <w:sz w:val="20"/>
          <w:szCs w:val="20"/>
          <w:lang w:val="pt-PT"/>
        </w:rPr>
        <w:t xml:space="preserve">Lei Nº. 40/2004, de 18 de Agosto (Estatuto do Bolseiro de Investigação Científica); Regulamento de Bolsas de Investigação da FCT, I. P., aprovado pelo Regulamento nº 234/2012, publicado na II Série do Diário da República de 25 de junho de 2012, alterado e republicado pelo Regulamento nº 326/2013, publicado na II Série do Diário da República de 27 de julho de 2013</w:t>
      </w:r>
      <w:r>
        <w:rPr>
          <w:rFonts w:ascii="Arial" w:eastAsia="Arial" w:hAnsi="Arial" w:cs="Arial"/>
          <w:sz w:val="20"/>
          <w:szCs w:val="20"/>
          <w:lang w:val="pt-PT"/>
        </w:rPr>
        <w:t xml:space="preserve">,</w:t>
      </w:r>
      <w:r>
        <w:rPr>
          <w:rFonts w:ascii="Arial" w:eastAsia="Arial" w:hAnsi="Arial" w:cs="Arial"/>
          <w:sz w:val="20"/>
          <w:szCs w:val="20"/>
          <w:lang w:val="pt-PT"/>
        </w:rPr>
        <w:t xml:space="preserve"> alterado pelo Regulamento nº 339/2015, publicado na II Série do Diário da República de 17 de junho de 2015</w:t>
      </w:r>
      <w:r>
        <w:rPr>
          <w:rFonts w:ascii="Arial" w:eastAsia="Arial" w:hAnsi="Arial" w:cs="Arial"/>
          <w:sz w:val="20"/>
          <w:szCs w:val="20"/>
          <w:lang w:val="pt-PT"/>
        </w:rPr>
        <w:t xml:space="preserve"> </w:t>
      </w:r>
      <w:r>
        <w:rPr>
          <w:rFonts w:ascii="Arial" w:eastAsia="Arial" w:hAnsi="Arial" w:cs="Arial"/>
          <w:sz w:val="20"/>
          <w:szCs w:val="20"/>
          <w:lang w:val="pt-PT"/>
        </w:rPr>
        <w:t xml:space="preserve">e Lei n.º71/2018 (Lei do Orçamento do Estado para 2019)</w:t>
      </w:r>
      <w:r>
        <w:rPr>
          <w:rFonts w:ascii="Arial" w:eastAsia="Arial" w:hAnsi="Arial" w:cs="Arial"/>
          <w:sz w:val="20"/>
          <w:szCs w:val="20"/>
          <w:lang w:val="pt-PT"/>
        </w:rPr>
        <w:t xml:space="preserve"> e o Regulamento de Bolsas de Investigação da Universidade de Trás-os-Montes e Alto Douro – Despacho RT.36/2011, de 6 de Julho, do Sr. Reitor, publicado em Diário da República pelo Despacho Nº 9157/2011 (II Série), de 19 de Julho.</w:t>
      </w:r>
    </w:p>
    <w:p>
      <w:pPr>
        <w:spacing w:line="360" w:lineRule="auto"/>
        <w:jc w:val="both"/>
        <w:rPr>
          <w:rFonts w:ascii="Arial" w:eastAsia="Arial" w:hAnsi="Arial" w:cs="Arial"/>
          <w:b/>
          <w:sz w:val="20"/>
          <w:szCs w:val="20"/>
          <w:lang w:val="pt-PT"/>
        </w:rPr>
      </w:pPr>
    </w:p>
    <w:p>
      <w:pPr>
        <w:spacing w:line="360" w:lineRule="auto"/>
        <w:jc w:val="both"/>
        <w:rPr>
          <w:rFonts w:ascii="Arial" w:eastAsia="Arial" w:hAnsi="Arial" w:cs="Arial"/>
          <w:sz w:val="20"/>
          <w:szCs w:val="20"/>
          <w:lang w:val="pt-PT"/>
        </w:rPr>
      </w:pPr>
      <w:r>
        <w:rPr>
          <w:rFonts w:ascii="Arial" w:eastAsia="Arial" w:hAnsi="Arial" w:cs="Arial"/>
          <w:b/>
          <w:sz w:val="20"/>
          <w:szCs w:val="20"/>
          <w:lang w:val="pt-PT"/>
        </w:rPr>
        <w:t xml:space="preserve">Local de trabalho</w:t>
      </w:r>
      <w:r>
        <w:rPr>
          <w:rFonts w:ascii="Arial" w:eastAsia="Arial" w:hAnsi="Arial" w:cs="Arial"/>
          <w:sz w:val="20"/>
          <w:szCs w:val="20"/>
          <w:lang w:val="pt-PT"/>
        </w:rPr>
        <w:t xml:space="preserve">:</w:t>
      </w:r>
    </w:p>
    <w:p>
      <w:pPr>
        <w:spacing w:line="360" w:lineRule="auto"/>
        <w:jc w:val="both"/>
        <w:rPr>
          <w:rFonts w:ascii="Arial" w:eastAsia="Arial" w:hAnsi="Arial" w:cs="Arial"/>
          <w:sz w:val="20"/>
          <w:szCs w:val="20"/>
          <w:lang w:val="pt-PT"/>
        </w:rPr>
      </w:pPr>
      <w:r>
        <w:rPr>
          <w:rFonts w:ascii="Arial" w:eastAsia="Arial" w:hAnsi="Arial" w:cs="Arial"/>
          <w:sz w:val="20"/>
          <w:szCs w:val="20"/>
          <w:lang w:val="pt-PT"/>
        </w:rPr>
        <w:t xml:space="preserve">O trabalho será desenvolvido no(a)</w:t>
      </w:r>
      <w:r>
        <w:rPr>
          <w:rFonts w:ascii="Arial" w:eastAsia="Arial" w:hAnsi="Arial" w:cs="Arial"/>
          <w:sz w:val="20"/>
          <w:szCs w:val="20"/>
          <w:lang w:val="pt-PT"/>
        </w:rPr>
        <w:t xml:space="preserve"> Escola de Ciências e Tecnologia</w:t>
      </w:r>
      <w:r>
        <w:rPr>
          <w:rFonts w:ascii="Arial" w:eastAsia="Arial" w:hAnsi="Arial" w:cs="Arial"/>
          <w:sz w:val="20"/>
          <w:szCs w:val="20"/>
          <w:lang w:val="pt-PT"/>
        </w:rPr>
        <w:t xml:space="preserve"> </w:t>
      </w:r>
      <w:r>
        <w:rPr>
          <w:rFonts w:ascii="Arial" w:eastAsia="Arial" w:hAnsi="Arial" w:cs="Arial"/>
          <w:sz w:val="20"/>
          <w:szCs w:val="20"/>
          <w:lang w:val="pt-PT"/>
        </w:rPr>
        <w:t xml:space="preserve">da</w:t>
      </w:r>
      <w:r>
        <w:rPr>
          <w:rFonts w:ascii="Arial" w:eastAsia="Arial" w:hAnsi="Arial" w:cs="Arial"/>
          <w:sz w:val="20"/>
          <w:szCs w:val="20"/>
          <w:lang w:val="pt-PT"/>
        </w:rPr>
        <w:t xml:space="preserve"> </w:t>
      </w:r>
      <w:r>
        <w:rPr>
          <w:rFonts w:ascii="Arial" w:eastAsia="Arial" w:hAnsi="Arial" w:cs="Arial"/>
          <w:sz w:val="20"/>
          <w:szCs w:val="20"/>
          <w:lang w:val="pt-PT"/>
        </w:rPr>
        <w:t xml:space="preserve">Universidade de</w:t>
      </w:r>
      <w:r>
        <w:rPr>
          <w:rFonts w:ascii="Arial" w:eastAsia="Arial" w:hAnsi="Arial" w:cs="Arial"/>
          <w:sz w:val="20"/>
          <w:szCs w:val="20"/>
          <w:lang w:val="pt-PT"/>
        </w:rPr>
        <w:t xml:space="preserve"> Trás-os-Montes e Alto Douro</w:t>
      </w:r>
      <w:r>
        <w:rPr>
          <w:rFonts w:ascii="Arial" w:eastAsia="Arial" w:hAnsi="Arial" w:cs="Arial"/>
          <w:sz w:val="20"/>
          <w:szCs w:val="20"/>
          <w:lang w:val="pt-PT"/>
        </w:rPr>
        <w:t xml:space="preserve">.</w:t>
      </w:r>
    </w:p>
    <w:p>
      <w:pPr>
        <w:spacing w:line="360" w:lineRule="auto"/>
        <w:jc w:val="both"/>
        <w:rPr>
          <w:rFonts w:ascii="Arial" w:eastAsia="Arial" w:hAnsi="Arial" w:cs="Arial"/>
          <w:sz w:val="20"/>
          <w:szCs w:val="20"/>
          <w:lang w:val="pt-PT"/>
        </w:rPr>
      </w:pPr>
    </w:p>
    <w:p>
      <w:pPr>
        <w:spacing w:line="360" w:lineRule="auto"/>
        <w:jc w:val="both"/>
        <w:rPr>
          <w:rFonts w:ascii="Arial" w:eastAsia="Arial" w:hAnsi="Arial" w:cs="Arial"/>
          <w:sz w:val="20"/>
          <w:szCs w:val="20"/>
          <w:lang w:val="pt-PT"/>
        </w:rPr>
      </w:pPr>
      <w:r>
        <w:rPr>
          <w:rFonts w:ascii="Arial" w:eastAsia="Arial" w:hAnsi="Arial" w:cs="Arial"/>
          <w:b/>
          <w:sz w:val="20"/>
          <w:szCs w:val="20"/>
          <w:lang w:val="pt-PT"/>
        </w:rPr>
        <w:t xml:space="preserve">Duração da</w:t>
      </w:r>
      <w:r>
        <w:rPr>
          <w:rFonts w:ascii="Arial" w:eastAsia="Arial" w:hAnsi="Arial" w:cs="Arial"/>
          <w:b/>
          <w:sz w:val="20"/>
          <w:szCs w:val="20"/>
          <w:lang w:val="pt-PT"/>
        </w:rPr>
        <w:t xml:space="preserve"> </w:t>
      </w:r>
      <w:r>
        <w:rPr>
          <w:rFonts w:ascii="Arial" w:eastAsia="Arial" w:hAnsi="Arial" w:cs="Arial"/>
          <w:b/>
          <w:sz w:val="20"/>
          <w:szCs w:val="20"/>
          <w:lang w:val="pt-PT"/>
        </w:rPr>
        <w:t xml:space="preserve">(s) bolsa</w:t>
      </w:r>
      <w:r>
        <w:rPr>
          <w:rFonts w:ascii="Arial" w:eastAsia="Arial" w:hAnsi="Arial" w:cs="Arial"/>
          <w:b/>
          <w:sz w:val="20"/>
          <w:szCs w:val="20"/>
          <w:lang w:val="pt-PT"/>
        </w:rPr>
        <w:t xml:space="preserve"> </w:t>
      </w:r>
      <w:r>
        <w:rPr>
          <w:rFonts w:ascii="Arial" w:eastAsia="Arial" w:hAnsi="Arial" w:cs="Arial"/>
          <w:b/>
          <w:sz w:val="20"/>
          <w:szCs w:val="20"/>
          <w:lang w:val="pt-PT"/>
        </w:rPr>
        <w:t xml:space="preserve">(s)</w:t>
      </w:r>
      <w:r>
        <w:rPr>
          <w:rFonts w:ascii="Arial" w:eastAsia="Arial" w:hAnsi="Arial" w:cs="Arial"/>
          <w:sz w:val="20"/>
          <w:szCs w:val="20"/>
          <w:lang w:val="pt-PT"/>
        </w:rPr>
        <w:t xml:space="preserve">:</w:t>
      </w:r>
    </w:p>
    <w:p>
      <w:pPr>
        <w:spacing w:line="360" w:lineRule="auto"/>
        <w:jc w:val="both"/>
        <w:rPr>
          <w:rFonts w:ascii="Arial" w:eastAsia="Arial" w:hAnsi="Arial" w:cs="Arial"/>
          <w:sz w:val="20"/>
          <w:szCs w:val="20"/>
          <w:lang w:val="pt-PT"/>
        </w:rPr>
      </w:pPr>
      <w:r>
        <w:rPr>
          <w:rFonts w:ascii="Arial" w:eastAsia="Arial" w:hAnsi="Arial" w:cs="Arial"/>
          <w:sz w:val="20"/>
          <w:szCs w:val="20"/>
          <w:lang w:val="pt-PT"/>
        </w:rPr>
        <w:t xml:space="preserve">A bolsa terá a</w:t>
      </w:r>
      <w:r>
        <w:rPr>
          <w:rFonts w:ascii="Arial" w:eastAsia="Arial" w:hAnsi="Arial" w:cs="Arial"/>
          <w:sz w:val="20"/>
          <w:szCs w:val="20"/>
          <w:lang w:val="pt-PT"/>
        </w:rPr>
        <w:t xml:space="preserve"> duração de </w:t>
      </w:r>
      <w:r>
        <w:rPr>
          <w:rFonts w:ascii="Arial" w:eastAsia="Arial" w:hAnsi="Arial" w:cs="Arial"/>
          <w:sz w:val="20"/>
          <w:szCs w:val="20"/>
          <w:lang w:val="pt-PT"/>
        </w:rPr>
        <w:t xml:space="preserve">6</w:t>
      </w:r>
      <w:r>
        <w:rPr>
          <w:rFonts w:ascii="Arial" w:eastAsia="Arial" w:hAnsi="Arial" w:cs="Arial"/>
          <w:sz w:val="20"/>
          <w:szCs w:val="20"/>
          <w:lang w:val="pt-PT"/>
        </w:rPr>
        <w:t xml:space="preserve"> </w:t>
      </w:r>
      <w:r>
        <w:rPr>
          <w:rFonts w:ascii="Arial" w:eastAsia="Arial" w:hAnsi="Arial" w:cs="Arial"/>
          <w:sz w:val="20"/>
          <w:szCs w:val="20"/>
          <w:lang w:val="pt-PT"/>
        </w:rPr>
        <w:t xml:space="preserve">meses, com início previsto em Janeiro</w:t>
      </w:r>
      <w:r>
        <w:rPr>
          <w:rFonts w:ascii="Arial" w:eastAsia="Arial" w:hAnsi="Arial" w:cs="Arial"/>
          <w:sz w:val="20"/>
          <w:szCs w:val="20"/>
          <w:lang w:val="pt-PT"/>
        </w:rPr>
        <w:t xml:space="preserve"> de </w:t>
      </w:r>
      <w:r>
        <w:rPr>
          <w:rFonts w:ascii="Arial" w:eastAsia="Arial" w:hAnsi="Arial" w:cs="Arial"/>
          <w:sz w:val="20"/>
          <w:szCs w:val="20"/>
          <w:lang w:val="pt-PT"/>
        </w:rPr>
        <w:t xml:space="preserve">2027</w:t>
      </w:r>
      <w:r>
        <w:rPr>
          <w:rFonts w:ascii="Arial" w:eastAsia="Arial" w:hAnsi="Arial" w:cs="Arial"/>
          <w:sz w:val="20"/>
          <w:szCs w:val="20"/>
          <w:lang w:val="pt-PT"/>
        </w:rPr>
        <w:t xml:space="preserve">.</w:t>
      </w:r>
      <w:r>
        <w:rPr>
          <w:rFonts w:ascii="Arial" w:eastAsia="Arial" w:hAnsi="Arial" w:cs="Arial"/>
          <w:sz w:val="20"/>
          <w:szCs w:val="20"/>
          <w:lang w:val="pt-PT"/>
        </w:rPr>
        <w:t xml:space="preserve"> </w:t>
      </w:r>
      <w:r>
        <w:rPr>
          <w:rFonts w:ascii="Arial" w:eastAsia="Arial" w:hAnsi="Arial" w:cs="Arial"/>
          <w:sz w:val="20"/>
          <w:szCs w:val="20"/>
          <w:lang w:val="pt-PT"/>
        </w:rPr>
        <w:t xml:space="preserve">. </w:t>
      </w:r>
    </w:p>
    <w:p>
      <w:pPr>
        <w:spacing w:line="360" w:lineRule="auto"/>
        <w:jc w:val="both"/>
        <w:rPr>
          <w:rFonts w:ascii="Arial" w:eastAsia="Arial" w:hAnsi="Arial" w:cs="Arial"/>
          <w:sz w:val="20"/>
          <w:szCs w:val="20"/>
          <w:lang w:val="pt-PT"/>
        </w:rPr>
      </w:pPr>
    </w:p>
    <w:p>
      <w:pPr>
        <w:spacing w:line="360" w:lineRule="auto"/>
        <w:jc w:val="both"/>
        <w:rPr>
          <w:rFonts w:ascii="Arial" w:eastAsia="Arial" w:hAnsi="Arial" w:cs="Arial"/>
          <w:b/>
          <w:bCs/>
          <w:sz w:val="20"/>
          <w:szCs w:val="20"/>
          <w:lang w:val="pt-PT"/>
        </w:rPr>
      </w:pPr>
      <w:r>
        <w:rPr>
          <w:rFonts w:ascii="Arial" w:eastAsia="Arial" w:hAnsi="Arial" w:cs="Arial"/>
          <w:b/>
          <w:bCs/>
          <w:sz w:val="20"/>
          <w:szCs w:val="20"/>
          <w:lang w:val="pt-PT"/>
        </w:rPr>
        <w:t xml:space="preserve">Nota:</w:t>
      </w:r>
    </w:p>
    <w:p>
      <w:pPr>
        <w:spacing w:line="360" w:lineRule="auto"/>
        <w:jc w:val="both"/>
        <w:rPr>
          <w:rFonts w:ascii="Arial" w:eastAsia="Arial" w:hAnsi="Arial" w:cs="Arial"/>
          <w:b/>
          <w:bCs/>
          <w:color w:val="0070C0"/>
          <w:sz w:val="20"/>
          <w:szCs w:val="20"/>
          <w:lang w:val="pt-PT"/>
        </w:rPr>
      </w:pPr>
      <w:r>
        <w:rPr>
          <w:rStyle w:val="Forte"/>
          <w:rFonts w:ascii="Arial" w:eastAsia="Arial" w:hAnsi="Arial" w:cs="Arial"/>
          <w:b w:val="0"/>
          <w:bCs w:val="0"/>
          <w:sz w:val="20"/>
          <w:szCs w:val="20"/>
          <w:lang w:val="pt-PT"/>
        </w:rPr>
        <w:t xml:space="preserve">Se a bolsa for atribuída a estudantes inscritos em curso não conferente de grau académico, o contrato não poderá ultrapassar a duração total de 12 meses.</w:t>
      </w:r>
    </w:p>
    <w:p>
      <w:pPr>
        <w:spacing w:line="360" w:lineRule="auto"/>
        <w:jc w:val="both"/>
        <w:rPr>
          <w:rFonts w:ascii="Arial" w:eastAsia="Arial" w:hAnsi="Arial" w:cs="Arial"/>
          <w:sz w:val="20"/>
          <w:szCs w:val="20"/>
          <w:lang w:val="pt-PT"/>
        </w:rPr>
      </w:pPr>
    </w:p>
    <w:p>
      <w:pPr>
        <w:spacing w:line="360" w:lineRule="auto"/>
        <w:jc w:val="both"/>
        <w:rPr>
          <w:rFonts w:ascii="Arial" w:eastAsia="Arial" w:hAnsi="Arial" w:cs="Arial"/>
          <w:sz w:val="20"/>
          <w:szCs w:val="20"/>
          <w:lang w:val="pt-PT"/>
        </w:rPr>
      </w:pPr>
      <w:r>
        <w:rPr>
          <w:rFonts w:ascii="Arial" w:eastAsia="Arial" w:hAnsi="Arial" w:cs="Arial"/>
          <w:b/>
          <w:sz w:val="20"/>
          <w:szCs w:val="20"/>
          <w:lang w:val="pt-PT"/>
        </w:rPr>
        <w:t xml:space="preserve">Valor do subsídio de manutenção mensal</w:t>
      </w:r>
      <w:r>
        <w:rPr>
          <w:rFonts w:ascii="Arial" w:eastAsia="Arial" w:hAnsi="Arial" w:cs="Arial"/>
          <w:sz w:val="20"/>
          <w:szCs w:val="20"/>
          <w:lang w:val="pt-PT"/>
        </w:rPr>
        <w:t xml:space="preserve">:</w:t>
      </w:r>
    </w:p>
    <w:p>
      <w:pPr>
        <w:spacing w:line="360" w:lineRule="auto"/>
        <w:jc w:val="both"/>
        <w:rPr>
          <w:rFonts w:ascii="Arial" w:eastAsia="Arial" w:hAnsi="Arial" w:cs="Arial"/>
          <w:sz w:val="20"/>
          <w:szCs w:val="20"/>
          <w:lang w:val="pt-PT"/>
        </w:rPr>
      </w:pPr>
      <w:r>
        <w:rPr>
          <w:rFonts w:ascii="Arial" w:eastAsia="Arial" w:hAnsi="Arial" w:cs="Arial"/>
          <w:sz w:val="20"/>
          <w:szCs w:val="20"/>
          <w:lang w:val="pt-PT"/>
        </w:rPr>
        <w:t xml:space="preserve">O mont</w:t>
      </w:r>
      <w:r>
        <w:rPr>
          <w:rFonts w:ascii="Arial" w:eastAsia="Arial" w:hAnsi="Arial" w:cs="Arial"/>
          <w:sz w:val="20"/>
          <w:szCs w:val="20"/>
          <w:lang w:val="pt-PT"/>
        </w:rPr>
        <w:t xml:space="preserve">ante da bolsa corresponde a €1090,98</w:t>
      </w:r>
      <w:r>
        <w:rPr>
          <w:rFonts w:ascii="Arial" w:eastAsia="Arial" w:hAnsi="Arial" w:cs="Arial"/>
          <w:sz w:val="20"/>
          <w:szCs w:val="20"/>
          <w:lang w:val="pt-PT"/>
        </w:rPr>
        <w:t xml:space="preserve">, conforme tabela de valores das bolsas atribuídas dire</w:t>
      </w:r>
      <w:r>
        <w:rPr>
          <w:rFonts w:ascii="Arial" w:eastAsia="Arial" w:hAnsi="Arial" w:cs="Arial"/>
          <w:sz w:val="20"/>
          <w:szCs w:val="20"/>
          <w:lang w:val="pt-PT"/>
        </w:rPr>
        <w:t xml:space="preserve">tamente pela FCT, I.P. no País </w:t>
      </w:r>
      <w:r>
        <w:rPr>
          <w:rFonts w:ascii="Arial" w:eastAsia="Arial" w:hAnsi="Arial" w:cs="Arial"/>
          <w:sz w:val="18"/>
          <w:szCs w:val="18"/>
          <w:lang w:val="pt-PT"/>
        </w:rPr>
        <w:t xml:space="preserve">(</w:t>
      </w:r>
      <w:bookmarkStart w:id="2" w:name="OLE_LINK1"/>
      <w:bookmarkStart w:id="3" w:name="OLE_LINK2"/>
      <w:hyperlink r:id="rId1" w:history="1">
        <w:r>
          <w:rPr>
            <w:rStyle w:val="Hiperligao"/>
            <w:rFonts w:ascii="Arial" w:eastAsia="Arial" w:hAnsi="Arial" w:cs="Arial"/>
            <w:sz w:val="18"/>
            <w:szCs w:val="18"/>
            <w:lang w:val="pt-PT"/>
          </w:rPr>
          <w:t xml:space="preserve">https://www.fct.pt/apoios/bolsas/valores</w:t>
        </w:r>
      </w:hyperlink>
      <w:bookmarkEnd w:id="2"/>
      <w:bookmarkEnd w:id="3"/>
      <w:r>
        <w:rPr>
          <w:rFonts w:ascii="Arial" w:eastAsia="Arial" w:hAnsi="Arial" w:cs="Arial"/>
          <w:sz w:val="18"/>
          <w:szCs w:val="18"/>
          <w:lang w:val="pt-PT"/>
        </w:rPr>
        <w:t xml:space="preserve">)</w:t>
      </w:r>
      <w:r>
        <w:rPr>
          <w:rFonts w:ascii="Arial" w:eastAsia="Arial" w:hAnsi="Arial" w:cs="Arial"/>
          <w:sz w:val="18"/>
          <w:szCs w:val="18"/>
          <w:lang w:val="pt-PT"/>
        </w:rPr>
        <w:t xml:space="preserve">.</w:t>
      </w:r>
      <w:r>
        <w:rPr>
          <w:rFonts w:ascii="Arial" w:eastAsia="Arial" w:hAnsi="Arial" w:cs="Arial"/>
          <w:sz w:val="20"/>
          <w:szCs w:val="20"/>
          <w:lang w:val="pt-PT"/>
        </w:rPr>
        <w:t xml:space="preserve"> </w:t>
      </w:r>
      <w:r>
        <w:rPr>
          <w:rFonts w:ascii="Arial" w:eastAsia="Arial" w:hAnsi="Arial" w:cs="Arial"/>
          <w:sz w:val="20"/>
          <w:szCs w:val="20"/>
          <w:lang w:val="pt-PT"/>
        </w:rPr>
        <w:t xml:space="preserve">A periodicidade de pagamento da bolsa é mensal e através de depósito bancário, cheque ou outra modalidade equivalente</w:t>
      </w:r>
      <w:r>
        <w:rPr>
          <w:rFonts w:ascii="Arial" w:eastAsia="Arial" w:hAnsi="Arial" w:cs="Arial"/>
          <w:sz w:val="20"/>
          <w:szCs w:val="20"/>
          <w:lang w:val="pt-PT"/>
        </w:rPr>
        <w:t xml:space="preserve">.</w:t>
      </w:r>
    </w:p>
    <w:p>
      <w:pPr>
        <w:spacing w:line="360" w:lineRule="auto"/>
        <w:jc w:val="both"/>
        <w:rPr>
          <w:rFonts w:ascii="Arial" w:eastAsia="Arial" w:hAnsi="Arial" w:cs="Arial"/>
          <w:b/>
          <w:sz w:val="20"/>
          <w:szCs w:val="20"/>
          <w:lang w:val="pt-PT"/>
        </w:rPr>
      </w:pPr>
    </w:p>
    <w:p>
      <w:pPr>
        <w:spacing w:line="360" w:lineRule="auto"/>
        <w:jc w:val="both"/>
        <w:rPr>
          <w:rFonts w:ascii="Arial" w:eastAsia="Arial" w:hAnsi="Arial" w:cs="Arial"/>
          <w:sz w:val="20"/>
          <w:szCs w:val="20"/>
          <w:lang w:val="pt-PT"/>
        </w:rPr>
      </w:pPr>
      <w:r>
        <w:rPr>
          <w:rFonts w:ascii="Arial" w:eastAsia="Arial" w:hAnsi="Arial" w:cs="Arial"/>
          <w:b/>
          <w:sz w:val="20"/>
          <w:szCs w:val="20"/>
          <w:lang w:val="pt-PT"/>
        </w:rPr>
        <w:t xml:space="preserve">Métodos de seleção</w:t>
      </w:r>
      <w:r>
        <w:rPr>
          <w:rFonts w:ascii="Arial" w:eastAsia="Arial" w:hAnsi="Arial" w:cs="Arial"/>
          <w:sz w:val="20"/>
          <w:szCs w:val="20"/>
          <w:lang w:val="pt-PT"/>
        </w:rPr>
        <w:t xml:space="preserve">:</w:t>
      </w:r>
    </w:p>
    <w:p>
      <w:pPr>
        <w:spacing w:line="360" w:lineRule="auto"/>
        <w:jc w:val="both"/>
        <w:rPr>
          <w:rFonts w:ascii="Arial" w:eastAsia="Arial" w:hAnsi="Arial" w:cs="Arial"/>
          <w:sz w:val="20"/>
          <w:szCs w:val="20"/>
          <w:lang w:val="pt-PT"/>
        </w:rPr>
      </w:pPr>
      <w:r>
        <w:rPr>
          <w:rFonts w:ascii="Arial" w:eastAsia="Arial" w:hAnsi="Arial" w:cs="Arial"/>
          <w:sz w:val="20"/>
          <w:szCs w:val="20"/>
          <w:lang w:val="pt-PT"/>
        </w:rPr>
        <w:t xml:space="preserve">Os métodos de seleção a utilizar serão</w:t>
      </w:r>
      <w:r>
        <w:rPr>
          <w:rFonts w:ascii="Arial" w:eastAsia="Arial" w:hAnsi="Arial" w:cs="Arial"/>
          <w:sz w:val="20"/>
          <w:szCs w:val="20"/>
          <w:lang w:val="pt-PT"/>
        </w:rPr>
        <w:t xml:space="preserve"> os seguintes: </w:t>
      </w:r>
      <w:r>
        <w:rPr>
          <w:rFonts w:ascii="Arial" w:eastAsia="Arial" w:hAnsi="Arial" w:cs="Arial"/>
          <w:sz w:val="18"/>
          <w:szCs w:val="18"/>
          <w:lang w:val="pt-PT"/>
        </w:rPr>
        <w:t xml:space="preserve">Carta de motivação e capacidade de integração em equipa multidisciplinar, Adequação do perfil académico e científico ao plano de trabalhos, Experiência em desenvolvimento tecnológico e trabalho de campo e Entrevista</w:t>
      </w:r>
      <w:r>
        <w:rPr>
          <w:rFonts w:ascii="Arial" w:eastAsia="Arial" w:hAnsi="Arial" w:cs="Arial"/>
          <w:sz w:val="20"/>
          <w:szCs w:val="20"/>
          <w:lang w:val="pt-PT"/>
        </w:rPr>
        <w:t xml:space="preserve">, com a </w:t>
      </w:r>
      <w:r>
        <w:rPr>
          <w:rFonts w:ascii="Arial" w:eastAsia="Arial" w:hAnsi="Arial" w:cs="Arial"/>
          <w:sz w:val="20"/>
          <w:szCs w:val="20"/>
          <w:lang w:val="pt-PT"/>
        </w:rPr>
        <w:t xml:space="preserve">respetiva valoração de </w:t>
      </w:r>
      <w:r>
        <w:rPr>
          <w:rFonts w:ascii="Arial" w:eastAsia="Arial" w:hAnsi="Arial" w:cs="Arial"/>
          <w:sz w:val="20"/>
          <w:szCs w:val="20"/>
          <w:lang w:val="pt-PT"/>
        </w:rPr>
        <w:t xml:space="preserve">20%, 25%, 25% e 30%</w:t>
      </w:r>
      <w:r>
        <w:rPr>
          <w:rFonts w:ascii="Arial" w:eastAsia="Arial" w:hAnsi="Arial" w:cs="Arial"/>
          <w:sz w:val="20"/>
          <w:szCs w:val="20"/>
          <w:lang w:val="pt-PT"/>
        </w:rPr>
        <w:t xml:space="preserve">.</w:t>
      </w:r>
    </w:p>
    <w:p>
      <w:pPr>
        <w:spacing w:line="360" w:lineRule="auto"/>
        <w:jc w:val="both"/>
        <w:rPr>
          <w:rFonts w:ascii="Arial" w:eastAsia="Arial" w:hAnsi="Arial" w:cs="Arial"/>
          <w:sz w:val="20"/>
          <w:szCs w:val="20"/>
          <w:lang w:val="pt-PT"/>
        </w:rPr>
      </w:pPr>
    </w:p>
    <w:p>
      <w:pPr>
        <w:spacing w:line="360" w:lineRule="auto"/>
        <w:jc w:val="both"/>
        <w:rPr>
          <w:rFonts w:ascii="Arial" w:eastAsia="Arial" w:hAnsi="Arial" w:cs="Arial"/>
          <w:sz w:val="20"/>
          <w:szCs w:val="20"/>
          <w:lang w:val="pt-PT"/>
        </w:rPr>
      </w:pPr>
      <w:r>
        <w:rPr>
          <w:rFonts w:ascii="Arial" w:eastAsia="Arial" w:hAnsi="Arial" w:cs="Arial"/>
          <w:b/>
          <w:sz w:val="20"/>
          <w:szCs w:val="20"/>
          <w:lang w:val="pt-PT"/>
        </w:rPr>
        <w:t xml:space="preserve">Composição do Júri de Seleção</w:t>
      </w:r>
      <w:r>
        <w:rPr>
          <w:rFonts w:ascii="Arial" w:eastAsia="Arial" w:hAnsi="Arial" w:cs="Arial"/>
          <w:sz w:val="20"/>
          <w:szCs w:val="20"/>
          <w:lang w:val="pt-PT"/>
        </w:rPr>
        <w:t xml:space="preserve">:</w:t>
      </w:r>
    </w:p>
    <w:p>
      <w:pPr>
        <w:spacing w:line="360" w:lineRule="auto"/>
        <w:jc w:val="both"/>
        <w:rPr>
          <w:rFonts w:ascii="Arial" w:eastAsia="Arial" w:hAnsi="Arial" w:cs="Arial"/>
          <w:color w:val="0070C0"/>
          <w:sz w:val="18"/>
          <w:szCs w:val="18"/>
          <w:lang w:val="pt-PT"/>
        </w:rPr>
      </w:pPr>
      <w:r>
        <w:rPr>
          <w:rFonts w:ascii="Arial" w:eastAsia="Arial" w:hAnsi="Arial" w:cs="Arial"/>
          <w:sz w:val="20"/>
          <w:szCs w:val="20"/>
          <w:lang w:val="pt-PT"/>
        </w:rPr>
        <w:t xml:space="preserve">Presidente - MARGARIDA DA CONCEIÇÃO RASTEIRO MAGANO LOPES RODRIGUES LIBERATO</w:t>
      </w:r>
    </w:p>
    <w:p>
      <w:pPr>
        <w:pageBreakBefore w:val="0"/>
        <w:spacing w:line="360" w:lineRule="auto"/>
        <w:jc w:val="both"/>
        <w:rPr>
          <w:rFonts w:ascii="Arial" w:eastAsia="Arial" w:hAnsi="Arial" w:cs="Arial"/>
          <w:color w:val="0070C0"/>
          <w:sz w:val="18"/>
          <w:szCs w:val="18"/>
          <w:lang w:val="pt-PT"/>
        </w:rPr>
      </w:pPr>
      <w:r>
        <w:rPr>
          <w:rFonts w:ascii="Arial" w:eastAsia="Arial" w:hAnsi="Arial" w:cs="Arial"/>
          <w:sz w:val="20"/>
          <w:szCs w:val="20"/>
          <w:lang w:val="pt-PT"/>
        </w:rPr>
        <w:t xml:space="preserve">Vogal - ANTÓNIO LUÍS GOMES VALENTE</w:t>
      </w:r>
    </w:p>
    <w:p>
      <w:pPr>
        <w:pageBreakBefore w:val="0"/>
        <w:spacing w:line="360" w:lineRule="auto"/>
        <w:jc w:val="both"/>
        <w:rPr>
          <w:rFonts w:ascii="Arial" w:eastAsia="Arial" w:hAnsi="Arial" w:cs="Arial"/>
          <w:color w:val="0070C0"/>
          <w:sz w:val="18"/>
          <w:szCs w:val="18"/>
          <w:lang w:val="pt-PT"/>
        </w:rPr>
      </w:pPr>
      <w:r>
        <w:rPr>
          <w:rFonts w:ascii="Arial" w:eastAsia="Arial" w:hAnsi="Arial" w:cs="Arial"/>
          <w:sz w:val="20"/>
          <w:szCs w:val="20"/>
          <w:lang w:val="pt-PT"/>
        </w:rPr>
        <w:t xml:space="preserve">Vogal - LUÍS MANUEL DE OLIVEIRA SOUSA</w:t>
      </w:r>
    </w:p>
    <w:p>
      <w:pPr>
        <w:spacing w:line="360" w:lineRule="auto"/>
        <w:jc w:val="both"/>
        <w:rPr>
          <w:rFonts w:ascii="Arial" w:eastAsia="Arial" w:hAnsi="Arial" w:cs="Arial"/>
          <w:color w:val="0070C0"/>
          <w:sz w:val="18"/>
          <w:szCs w:val="18"/>
          <w:lang w:val="pt-PT"/>
        </w:rPr>
      </w:pPr>
    </w:p>
    <w:p>
      <w:pPr>
        <w:spacing w:line="360" w:lineRule="auto"/>
        <w:jc w:val="both"/>
        <w:rPr>
          <w:rFonts w:ascii="Arial" w:eastAsia="Arial" w:hAnsi="Arial" w:cs="Arial"/>
          <w:sz w:val="20"/>
          <w:szCs w:val="20"/>
          <w:lang w:val="pt-PT"/>
        </w:rPr>
      </w:pPr>
    </w:p>
    <w:p>
      <w:pPr>
        <w:spacing w:line="360" w:lineRule="auto"/>
        <w:jc w:val="both"/>
        <w:rPr>
          <w:rFonts w:ascii="Arial" w:eastAsia="Arial" w:hAnsi="Arial" w:cs="Arial"/>
          <w:sz w:val="20"/>
          <w:szCs w:val="20"/>
          <w:lang w:val="pt-PT"/>
        </w:rPr>
      </w:pPr>
      <w:r>
        <w:rPr>
          <w:rFonts w:ascii="Arial" w:eastAsia="Arial" w:hAnsi="Arial" w:cs="Arial"/>
          <w:b/>
          <w:sz w:val="20"/>
          <w:szCs w:val="20"/>
          <w:lang w:val="pt-PT"/>
        </w:rPr>
        <w:t xml:space="preserve">Forma de publicitação/notificação dos resultados</w:t>
      </w:r>
      <w:r>
        <w:rPr>
          <w:rFonts w:ascii="Arial" w:eastAsia="Arial" w:hAnsi="Arial" w:cs="Arial"/>
          <w:sz w:val="20"/>
          <w:szCs w:val="20"/>
          <w:lang w:val="pt-PT"/>
        </w:rPr>
        <w:t xml:space="preserve">:</w:t>
      </w:r>
      <w:bookmarkStart w:id="4" w:name="_GoBack"/>
      <w:bookmarkEnd w:id="4"/>
    </w:p>
    <w:p>
      <w:pPr>
        <w:spacing w:line="360" w:lineRule="auto"/>
        <w:jc w:val="both"/>
        <w:rPr>
          <w:rFonts w:ascii="Arial" w:eastAsia="Arial" w:hAnsi="Arial" w:cs="Arial"/>
          <w:sz w:val="20"/>
          <w:szCs w:val="20"/>
          <w:lang w:val="pt-PT"/>
        </w:rPr>
      </w:pPr>
      <w:r>
        <w:rPr>
          <w:rFonts w:ascii="Arial" w:eastAsia="Arial" w:hAnsi="Arial" w:cs="Arial"/>
          <w:sz w:val="20"/>
          <w:szCs w:val="20"/>
          <w:lang w:val="pt-PT"/>
        </w:rPr>
        <w:t xml:space="preserve">Os resultados finais da avaliação serão publicitados, através de lista ordenada </w:t>
      </w:r>
      <w:r>
        <w:rPr>
          <w:rFonts w:ascii="Arial" w:eastAsia="Arial" w:hAnsi="Arial" w:cs="Arial"/>
          <w:sz w:val="20"/>
          <w:szCs w:val="20"/>
          <w:lang w:val="pt-PT"/>
        </w:rPr>
        <w:t xml:space="preserve">Alfabeticamente</w:t>
      </w:r>
      <w:r>
        <w:rPr>
          <w:rFonts w:ascii="Arial" w:eastAsia="Arial" w:hAnsi="Arial" w:cs="Arial"/>
          <w:sz w:val="20"/>
          <w:szCs w:val="20"/>
          <w:lang w:val="pt-PT"/>
        </w:rPr>
        <w:t xml:space="preserve"> afixada </w:t>
      </w:r>
      <w:r>
        <w:rPr>
          <w:rFonts w:ascii="Arial" w:eastAsia="Arial" w:hAnsi="Arial" w:cs="Arial"/>
          <w:sz w:val="20"/>
          <w:szCs w:val="20"/>
          <w:lang w:val="pt-PT"/>
        </w:rPr>
        <w:t xml:space="preserve">n</w:t>
      </w:r>
      <w:r>
        <w:rPr>
          <w:rFonts w:ascii="Arial" w:eastAsia="Arial" w:hAnsi="Arial" w:cs="Arial"/>
          <w:sz w:val="20"/>
          <w:szCs w:val="20"/>
          <w:lang w:val="pt-PT"/>
        </w:rPr>
        <w:t xml:space="preserve">o(a) </w:t>
      </w:r>
      <w:r>
        <w:rPr>
          <w:rFonts w:ascii="Arial" w:eastAsia="Arial" w:hAnsi="Arial" w:cs="Arial"/>
          <w:sz w:val="20"/>
          <w:szCs w:val="20"/>
          <w:lang w:val="pt-PT"/>
        </w:rPr>
        <w:t xml:space="preserve">Página Campus Online da UTAD</w:t>
      </w:r>
      <w:r>
        <w:rPr>
          <w:rFonts w:ascii="Arial" w:eastAsia="Arial" w:hAnsi="Arial" w:cs="Arial"/>
          <w:sz w:val="20"/>
          <w:szCs w:val="20"/>
          <w:lang w:val="pt-PT"/>
        </w:rPr>
        <w:t xml:space="preserve"> (http://www.campus.utad.pt/bolsasinvestigacao/candidaturas</w:t>
      </w:r>
      <w:r>
        <w:rPr>
          <w:rFonts w:ascii="Arial" w:eastAsia="Arial" w:hAnsi="Arial" w:cs="Arial"/>
          <w:sz w:val="20"/>
          <w:szCs w:val="20"/>
          <w:lang w:val="pt-PT"/>
        </w:rPr>
        <w:t xml:space="preserve">)</w:t>
      </w:r>
      <w:r>
        <w:rPr>
          <w:rFonts w:ascii="Arial" w:eastAsia="Arial" w:hAnsi="Arial" w:cs="Arial"/>
          <w:sz w:val="20"/>
          <w:szCs w:val="20"/>
          <w:lang w:val="pt-PT"/>
        </w:rPr>
        <w:t xml:space="preserve">, sendo o candidato(a) aprovado(a</w:t>
      </w:r>
      <w:r>
        <w:rPr>
          <w:rFonts w:ascii="Arial" w:eastAsia="Arial" w:hAnsi="Arial" w:cs="Arial"/>
          <w:sz w:val="20"/>
          <w:szCs w:val="20"/>
          <w:lang w:val="pt-PT"/>
        </w:rPr>
        <w:t xml:space="preserve">) notificado </w:t>
      </w:r>
      <w:r>
        <w:rPr>
          <w:rFonts w:ascii="Arial" w:eastAsia="Arial" w:hAnsi="Arial" w:cs="Arial"/>
          <w:sz w:val="20"/>
          <w:szCs w:val="20"/>
          <w:lang w:val="pt-PT"/>
        </w:rPr>
        <w:t xml:space="preserve">através</w:t>
      </w:r>
      <w:r>
        <w:rPr>
          <w:rFonts w:ascii="Arial" w:eastAsia="Arial" w:hAnsi="Arial" w:cs="Arial"/>
          <w:sz w:val="20"/>
          <w:szCs w:val="20"/>
          <w:lang w:val="pt-PT"/>
        </w:rPr>
        <w:t xml:space="preserve"> de e-mail</w:t>
      </w:r>
      <w:r>
        <w:rPr>
          <w:rFonts w:ascii="Arial" w:eastAsia="Arial" w:hAnsi="Arial" w:cs="Arial"/>
          <w:sz w:val="20"/>
          <w:szCs w:val="20"/>
          <w:lang w:val="pt-PT"/>
        </w:rPr>
        <w:t xml:space="preserve">.</w:t>
      </w:r>
    </w:p>
    <w:p>
      <w:pPr>
        <w:spacing w:line="360" w:lineRule="auto"/>
        <w:jc w:val="both"/>
        <w:rPr>
          <w:rFonts w:ascii="Arial" w:eastAsia="Arial" w:hAnsi="Arial" w:cs="Arial"/>
          <w:sz w:val="20"/>
          <w:szCs w:val="20"/>
          <w:lang w:val="pt-PT" w:eastAsia="en-GB"/>
        </w:rPr>
      </w:pPr>
      <w:r>
        <w:rPr>
          <w:rFonts w:ascii="Arial" w:eastAsia="Arial" w:hAnsi="Arial" w:cs="Arial"/>
          <w:sz w:val="20"/>
          <w:szCs w:val="20"/>
          <w:lang w:val="pt-PT"/>
        </w:rPr>
        <w:t xml:space="preserve">Com base na lista de seriação final será constituída uma lista de reserva, </w:t>
      </w:r>
      <w:r>
        <w:rPr>
          <w:rFonts w:ascii="Arial" w:eastAsia="Arial" w:hAnsi="Arial" w:cs="Arial"/>
          <w:sz w:val="20"/>
          <w:szCs w:val="20"/>
          <w:lang w:val="pt-PT"/>
        </w:rPr>
        <w:t xml:space="preserve">de validade igual à duração máxima do projeto que financia a presente bolsa ou à duração máxima da bolsa prevista no artigo 3.º, n.º 2, do Estatuto do Bolseiro de Investigação, Lei n.º 40/2004, de 18/08, revista pelo Decreto-Lei n.º 123/2019, de 28/08 (aquela que ocorrer primeiro),</w:t>
      </w:r>
      <w:r>
        <w:rPr>
          <w:rFonts w:ascii="Arial" w:eastAsia="Arial" w:hAnsi="Arial" w:cs="Arial"/>
          <w:sz w:val="20"/>
          <w:szCs w:val="20"/>
          <w:lang w:val="pt-PT"/>
        </w:rPr>
        <w:t xml:space="preserve"> a qual será utilizada para a eventual contratação de novos bolseiros no âmbito do presente projeto ou no caso de desistência do/a candidato/a classificado/a em primeiro lugar. Na eventualidade de nenhum /a dos/as candidatos/as demonstrar possuir o perfil indicado para a realização do plano de trabalhos, o júri reserva-se o direito de não atribuir a bolsa a concurso. Caso a decisão a tomar seja desfavorável à concessão da bolsa requerida, os candidatos têm um prazo de 10 dias úteis, após a divulgação referida, para se pronunciarem, querendo, em sede de audiência prévia, nos termos previstos no Código do Procedimento Administrativo.</w:t>
      </w:r>
    </w:p>
    <w:p>
      <w:pPr>
        <w:spacing w:line="360" w:lineRule="auto"/>
        <w:jc w:val="both"/>
        <w:rPr>
          <w:rFonts w:ascii="Arial" w:eastAsia="Arial" w:hAnsi="Arial" w:cs="Arial"/>
          <w:sz w:val="20"/>
          <w:szCs w:val="20"/>
          <w:lang w:val="pt-PT"/>
        </w:rPr>
      </w:pPr>
    </w:p>
    <w:p>
      <w:pPr>
        <w:spacing w:line="360" w:lineRule="auto"/>
        <w:jc w:val="both"/>
        <w:rPr>
          <w:rFonts w:ascii="Arial" w:eastAsia="Arial" w:hAnsi="Arial" w:cs="Arial"/>
          <w:sz w:val="20"/>
          <w:szCs w:val="20"/>
          <w:lang w:val="pt-PT"/>
        </w:rPr>
      </w:pPr>
      <w:r>
        <w:rPr>
          <w:rFonts w:ascii="Arial" w:eastAsia="Arial" w:hAnsi="Arial" w:cs="Arial"/>
          <w:b/>
          <w:sz w:val="20"/>
          <w:szCs w:val="20"/>
          <w:lang w:val="pt-PT"/>
        </w:rPr>
        <w:t xml:space="preserve">Prazo de candidatura e forma de apresentação das candidaturas</w:t>
      </w:r>
      <w:r>
        <w:rPr>
          <w:rFonts w:ascii="Arial" w:eastAsia="Arial" w:hAnsi="Arial" w:cs="Arial"/>
          <w:sz w:val="20"/>
          <w:szCs w:val="20"/>
          <w:lang w:val="pt-PT"/>
        </w:rPr>
        <w:t xml:space="preserve">:</w:t>
      </w:r>
    </w:p>
    <w:p>
      <w:pPr>
        <w:spacing w:line="360" w:lineRule="auto"/>
        <w:jc w:val="both"/>
        <w:rPr>
          <w:rFonts w:ascii="Arial" w:eastAsia="Arial" w:hAnsi="Arial" w:cs="Arial"/>
          <w:i/>
          <w:color w:val="0070C0"/>
          <w:sz w:val="18"/>
          <w:szCs w:val="18"/>
          <w:lang w:val="pt-PT"/>
        </w:rPr>
      </w:pPr>
      <w:r>
        <w:rPr>
          <w:rFonts w:ascii="Arial" w:eastAsia="Arial" w:hAnsi="Arial" w:cs="Arial"/>
          <w:sz w:val="20"/>
          <w:szCs w:val="20"/>
          <w:lang w:val="pt-PT"/>
        </w:rPr>
        <w:t xml:space="preserve">O concurso encontra-se aber</w:t>
      </w:r>
      <w:r>
        <w:rPr>
          <w:rFonts w:ascii="Arial" w:eastAsia="Arial" w:hAnsi="Arial" w:cs="Arial"/>
          <w:sz w:val="20"/>
          <w:szCs w:val="20"/>
          <w:lang w:val="pt-PT"/>
        </w:rPr>
        <w:t xml:space="preserve">to no período de </w:t>
      </w:r>
      <w:r>
        <w:rPr>
          <w:rFonts w:ascii="Arial" w:eastAsia="Arial" w:hAnsi="Arial" w:cs="Arial"/>
          <w:sz w:val="20"/>
          <w:szCs w:val="20"/>
          <w:lang w:val="pt-PT"/>
        </w:rPr>
        <w:t xml:space="preserve">09-11-2026</w:t>
      </w:r>
      <w:r>
        <w:rPr>
          <w:rFonts w:ascii="Arial" w:eastAsia="Arial" w:hAnsi="Arial" w:cs="Arial"/>
          <w:sz w:val="20"/>
          <w:szCs w:val="20"/>
          <w:lang w:val="pt-PT"/>
        </w:rPr>
        <w:t xml:space="preserve"> a </w:t>
      </w:r>
      <w:r>
        <w:rPr>
          <w:rFonts w:ascii="Arial" w:eastAsia="Arial" w:hAnsi="Arial" w:cs="Arial"/>
          <w:sz w:val="20"/>
          <w:szCs w:val="20"/>
          <w:lang w:val="pt-PT"/>
        </w:rPr>
        <w:t xml:space="preserve">20-11-2026</w:t>
      </w:r>
      <w:r>
        <w:rPr>
          <w:rFonts w:ascii="Arial" w:eastAsia="Arial" w:hAnsi="Arial" w:cs="Arial"/>
          <w:sz w:val="20"/>
          <w:szCs w:val="20"/>
          <w:lang w:val="pt-PT"/>
        </w:rPr>
        <w:t xml:space="preserve">.</w:t>
      </w:r>
    </w:p>
    <w:p>
      <w:pPr>
        <w:spacing w:line="360" w:lineRule="auto"/>
        <w:jc w:val="both"/>
        <w:rPr>
          <w:rFonts w:ascii="Arial" w:eastAsia="Arial" w:hAnsi="Arial" w:cs="Arial"/>
          <w:color w:val="0070C0"/>
          <w:sz w:val="18"/>
          <w:szCs w:val="18"/>
          <w:lang w:val="pt-PT"/>
        </w:rPr>
      </w:pPr>
    </w:p>
    <w:p>
      <w:pPr>
        <w:spacing w:line="360" w:lineRule="auto"/>
        <w:jc w:val="both"/>
        <w:rPr>
          <w:rFonts w:ascii="Arial" w:eastAsia="Arial" w:hAnsi="Arial" w:cs="Arial"/>
          <w:i/>
          <w:color w:val="0070C0"/>
          <w:sz w:val="18"/>
          <w:szCs w:val="18"/>
          <w:lang w:val="pt-PT"/>
        </w:rPr>
      </w:pPr>
      <w:r>
        <w:rPr>
          <w:rFonts w:ascii="Arial" w:eastAsia="Arial" w:hAnsi="Arial" w:cs="Arial"/>
          <w:sz w:val="20"/>
          <w:szCs w:val="20"/>
          <w:lang w:val="pt-PT"/>
        </w:rPr>
        <w:t xml:space="preserve">As candidaturas devem ser formalizadas, obrigatoriamente, através do envio de </w:t>
      </w:r>
      <w:r>
        <w:rPr>
          <w:rFonts w:ascii="Arial" w:eastAsia="Arial" w:hAnsi="Arial" w:cs="Arial"/>
          <w:sz w:val="20"/>
          <w:szCs w:val="20"/>
          <w:lang w:val="pt-PT"/>
        </w:rPr>
        <w:t xml:space="preserve">formulário</w:t>
      </w:r>
      <w:r>
        <w:rPr>
          <w:rFonts w:ascii="Arial" w:eastAsia="Arial" w:hAnsi="Arial" w:cs="Arial"/>
          <w:sz w:val="20"/>
          <w:szCs w:val="20"/>
          <w:lang w:val="pt-PT"/>
        </w:rPr>
        <w:t xml:space="preserve"> de </w:t>
      </w:r>
      <w:r>
        <w:rPr>
          <w:rFonts w:ascii="Arial" w:eastAsia="Arial" w:hAnsi="Arial" w:cs="Arial"/>
          <w:sz w:val="20"/>
          <w:szCs w:val="20"/>
          <w:lang w:val="pt-PT"/>
        </w:rPr>
        <w:t xml:space="preserve">candidatura acompanhado</w:t>
      </w:r>
      <w:r>
        <w:rPr>
          <w:rFonts w:ascii="Arial" w:eastAsia="Arial" w:hAnsi="Arial" w:cs="Arial"/>
          <w:sz w:val="20"/>
          <w:szCs w:val="20"/>
          <w:lang w:val="pt-PT"/>
        </w:rPr>
        <w:t xml:space="preserve"> dos</w:t>
      </w:r>
      <w:r>
        <w:rPr>
          <w:rFonts w:ascii="Arial" w:eastAsia="Arial" w:hAnsi="Arial" w:cs="Arial"/>
          <w:sz w:val="20"/>
          <w:szCs w:val="20"/>
          <w:lang w:val="pt-PT"/>
        </w:rPr>
        <w:t xml:space="preserve"> seguintes documentos: </w:t>
      </w:r>
      <w:r>
        <w:rPr>
          <w:rFonts w:ascii="Arial" w:eastAsia="Arial" w:hAnsi="Arial" w:cs="Arial"/>
          <w:sz w:val="20"/>
          <w:szCs w:val="20"/>
          <w:lang w:val="pt-PT"/>
        </w:rPr>
        <w:t xml:space="preserve">Cópia do(s) certificado(s) de habilitações, Curriculum Vitae do bolseiro detalhado [comprovando os requisitos acima referidos], Indicação dos seguintes dados: nº de cartão de cidadão,</w:t>
      </w:r>
    </w:p>
    <w:p>
      <w:pPr>
        <w:spacing w:line="360" w:lineRule="auto"/>
        <w:jc w:val="both"/>
        <w:rPr>
          <w:rFonts w:ascii="Arial" w:eastAsia="Arial" w:hAnsi="Arial" w:cs="Arial"/>
          <w:i/>
          <w:color w:val="0070C0"/>
          <w:sz w:val="18"/>
          <w:szCs w:val="18"/>
          <w:lang w:val="pt-PT"/>
        </w:rPr>
      </w:pPr>
      <w:r>
        <w:rPr>
          <w:rFonts w:ascii="Arial" w:eastAsia="Arial" w:hAnsi="Arial" w:cs="Arial"/>
          <w:sz w:val="20"/>
          <w:szCs w:val="20"/>
          <w:lang w:val="pt-PT"/>
        </w:rPr>
        <w:t xml:space="preserve">                                    nº de identificação fiscal – NIF, data de nascimento, contacto de telemóvel e endereço de correio eletrónico, Declaração sob compromisso de honra preenchido (que se encontra disponível na página de candidaturas) e Carta de motivação</w:t>
      </w:r>
      <w:r>
        <w:rPr>
          <w:rFonts w:ascii="Arial" w:eastAsia="Arial" w:hAnsi="Arial" w:cs="Arial"/>
          <w:sz w:val="20"/>
          <w:szCs w:val="20"/>
          <w:lang w:val="pt-PT"/>
        </w:rPr>
        <w:t xml:space="preserve">.</w:t>
      </w:r>
    </w:p>
    <w:p>
      <w:pPr>
        <w:spacing w:line="360" w:lineRule="auto"/>
        <w:jc w:val="both"/>
        <w:rPr>
          <w:rFonts w:ascii="Arial" w:eastAsia="Arial" w:hAnsi="Arial" w:cs="Arial"/>
          <w:color w:val="0070C0"/>
          <w:sz w:val="18"/>
          <w:szCs w:val="18"/>
          <w:lang w:val="pt-PT"/>
        </w:rPr>
      </w:pPr>
    </w:p>
    <w:p>
      <w:pPr>
        <w:autoSpaceDE w:val="0"/>
        <w:autoSpaceDN w:val="0"/>
        <w:adjustRightInd w:val="0"/>
        <w:spacing w:line="360" w:lineRule="auto"/>
        <w:jc w:val="both"/>
        <w:rPr>
          <w:rFonts w:ascii="Arial" w:eastAsia="Arial" w:hAnsi="Arial" w:cs="Arial"/>
          <w:sz w:val="20"/>
          <w:szCs w:val="20"/>
          <w:lang w:val="pt-PT"/>
        </w:rPr>
      </w:pPr>
      <w:r>
        <w:rPr>
          <w:rFonts w:ascii="Arial" w:eastAsia="Arial" w:hAnsi="Arial" w:cs="Arial"/>
          <w:sz w:val="20"/>
          <w:szCs w:val="20"/>
          <w:lang w:val="pt-PT"/>
        </w:rPr>
        <w:t xml:space="preserve">A candidatura deverá ser efetuada através da Página do Campus Online da UTAD, na secção de Bolsas de Investigação, seguindo as seguintes indicações:</w:t>
      </w:r>
    </w:p>
    <w:p>
      <w:pPr>
        <w:pStyle w:val="PargrafodaLista"/>
        <w:autoSpaceDE w:val="0"/>
        <w:autoSpaceDN w:val="0"/>
        <w:adjustRightInd w:val="0"/>
        <w:numPr>
          <w:ilvl w:val="0"/>
          <w:numId w:val="8"/>
        </w:numPr>
        <w:spacing w:line="360" w:lineRule="auto"/>
        <w:jc w:val="both"/>
        <w:rPr>
          <w:rFonts w:ascii="Arial" w:eastAsia="Arial" w:hAnsi="Arial" w:cs="Arial"/>
          <w:sz w:val="20"/>
          <w:szCs w:val="20"/>
          <w:lang w:val="pt-PT"/>
        </w:rPr>
      </w:pPr>
      <w:r>
        <w:rPr>
          <w:rFonts w:ascii="Arial" w:eastAsia="Arial" w:hAnsi="Arial" w:cs="Arial"/>
          <w:sz w:val="20"/>
          <w:szCs w:val="20"/>
          <w:lang w:val="pt-PT"/>
        </w:rPr>
        <w:t xml:space="preserve">Aceder à Página do Campus Online da UTAD: </w:t>
      </w:r>
      <w:hyperlink r:id="rId2" w:history="1">
        <w:r>
          <w:rPr>
            <w:rStyle w:val="Hiperligao"/>
            <w:rFonts w:ascii="Arial" w:eastAsia="Arial" w:hAnsi="Arial" w:cs="Arial"/>
            <w:sz w:val="20"/>
            <w:szCs w:val="20"/>
            <w:lang w:val="pt-PT"/>
          </w:rPr>
          <w:t xml:space="preserve">www.campus.utad.pt</w:t>
        </w:r>
      </w:hyperlink>
      <w:r>
        <w:rPr>
          <w:rFonts w:ascii="Arial" w:eastAsia="Arial" w:hAnsi="Arial" w:cs="Arial"/>
          <w:sz w:val="20"/>
          <w:szCs w:val="20"/>
          <w:lang w:val="pt-PT"/>
        </w:rPr>
        <w:t xml:space="preserve"> e</w:t>
      </w:r>
      <w:r>
        <w:rPr>
          <w:rFonts w:ascii="Arial" w:eastAsia="Arial" w:hAnsi="Arial" w:cs="Arial"/>
          <w:sz w:val="20"/>
          <w:szCs w:val="20"/>
          <w:lang w:val="pt-PT"/>
        </w:rPr>
        <w:t xml:space="preserve"> </w:t>
      </w:r>
      <w:r>
        <w:rPr>
          <w:rFonts w:ascii="Arial" w:eastAsia="Arial" w:hAnsi="Arial" w:cs="Arial"/>
          <w:sz w:val="20"/>
          <w:szCs w:val="20"/>
          <w:lang w:val="pt-PT"/>
        </w:rPr>
        <w:t xml:space="preserve">s</w:t>
      </w:r>
      <w:r>
        <w:rPr>
          <w:rFonts w:ascii="Arial" w:eastAsia="Arial" w:hAnsi="Arial" w:cs="Arial"/>
          <w:sz w:val="20"/>
          <w:szCs w:val="20"/>
          <w:lang w:val="pt-PT"/>
        </w:rPr>
        <w:t xml:space="preserve">elecionar a opção Bolsas de Investigação. Ou aceder diretamente a </w:t>
      </w:r>
      <w:hyperlink r:id="rId3" w:history="1">
        <w:r>
          <w:rPr>
            <w:rStyle w:val="Hiperligao"/>
            <w:rFonts w:ascii="Arial" w:eastAsia="Arial" w:hAnsi="Arial" w:cs="Arial"/>
            <w:sz w:val="20"/>
            <w:szCs w:val="20"/>
            <w:lang w:val="pt-PT"/>
          </w:rPr>
          <w:t xml:space="preserve">www.campus.utad.pt/bolsasinvestigacao/lista</w:t>
        </w:r>
      </w:hyperlink>
      <w:r>
        <w:rPr>
          <w:rFonts w:ascii="Arial" w:eastAsia="Arial" w:hAnsi="Arial" w:cs="Arial"/>
          <w:sz w:val="20"/>
          <w:szCs w:val="20"/>
          <w:lang w:val="pt-PT"/>
        </w:rPr>
        <w:t xml:space="preserve">. </w:t>
      </w:r>
    </w:p>
    <w:p>
      <w:pPr>
        <w:pStyle w:val="PargrafodaLista"/>
        <w:autoSpaceDE w:val="0"/>
        <w:autoSpaceDN w:val="0"/>
        <w:adjustRightInd w:val="0"/>
        <w:numPr>
          <w:ilvl w:val="0"/>
          <w:numId w:val="8"/>
        </w:numPr>
        <w:spacing w:line="360" w:lineRule="auto"/>
        <w:jc w:val="both"/>
        <w:rPr>
          <w:rFonts w:ascii="Arial" w:eastAsia="Arial" w:hAnsi="Arial" w:cs="Arial"/>
          <w:sz w:val="20"/>
          <w:szCs w:val="20"/>
          <w:lang w:val="pt-PT"/>
        </w:rPr>
      </w:pPr>
      <w:r>
        <w:rPr>
          <w:rFonts w:ascii="Arial" w:eastAsia="Arial" w:hAnsi="Arial" w:cs="Arial"/>
          <w:sz w:val="20"/>
          <w:szCs w:val="20"/>
          <w:lang w:val="pt-PT"/>
        </w:rPr>
        <w:t xml:space="preserve">Selecionar a bolsa à qual se pretende candidatar.</w:t>
      </w:r>
    </w:p>
    <w:p>
      <w:pPr>
        <w:pStyle w:val="PargrafodaLista"/>
        <w:autoSpaceDE w:val="0"/>
        <w:autoSpaceDN w:val="0"/>
        <w:adjustRightInd w:val="0"/>
        <w:numPr>
          <w:ilvl w:val="0"/>
          <w:numId w:val="8"/>
        </w:numPr>
        <w:spacing w:line="360" w:lineRule="auto"/>
        <w:jc w:val="both"/>
        <w:rPr>
          <w:rFonts w:ascii="Arial" w:eastAsia="Arial" w:hAnsi="Arial" w:cs="Arial"/>
          <w:sz w:val="20"/>
          <w:szCs w:val="20"/>
          <w:lang w:val="pt-PT"/>
        </w:rPr>
      </w:pPr>
      <w:r>
        <w:rPr>
          <w:rFonts w:ascii="Arial" w:eastAsia="Arial" w:hAnsi="Arial" w:cs="Arial"/>
          <w:sz w:val="20"/>
          <w:szCs w:val="20"/>
          <w:lang w:val="pt-PT"/>
        </w:rPr>
        <w:t xml:space="preserve">Ao selecionar a opção “Candidatar” será reencaminhado para a página de candidatura na qual deverá preencher e </w:t>
      </w:r>
      <w:r>
        <w:rPr>
          <w:rFonts w:ascii="Arial" w:eastAsia="Arial" w:hAnsi="Arial" w:cs="Arial"/>
          <w:sz w:val="20"/>
          <w:szCs w:val="20"/>
          <w:lang w:val="pt-PT"/>
        </w:rPr>
        <w:t xml:space="preserve">submeter</w:t>
      </w:r>
      <w:r>
        <w:rPr>
          <w:rFonts w:ascii="Arial" w:eastAsia="Arial" w:hAnsi="Arial" w:cs="Arial"/>
          <w:sz w:val="20"/>
          <w:szCs w:val="20"/>
          <w:lang w:val="pt-PT"/>
        </w:rPr>
        <w:t xml:space="preserve"> o respetivo formulário.</w:t>
      </w:r>
    </w:p>
    <w:p>
      <w:pPr>
        <w:autoSpaceDE w:val="0"/>
        <w:autoSpaceDN w:val="0"/>
        <w:adjustRightInd w:val="0"/>
        <w:spacing w:line="360" w:lineRule="auto"/>
        <w:jc w:val="both"/>
        <w:rPr>
          <w:rFonts w:ascii="Arial" w:eastAsia="Arial" w:hAnsi="Arial" w:cs="Arial"/>
          <w:sz w:val="20"/>
          <w:szCs w:val="20"/>
          <w:lang w:val="pt-PT"/>
        </w:rPr>
      </w:pPr>
    </w:p>
    <w:p>
      <w:pPr>
        <w:autoSpaceDE w:val="0"/>
        <w:autoSpaceDN w:val="0"/>
        <w:adjustRightInd w:val="0"/>
        <w:spacing w:line="360" w:lineRule="auto"/>
        <w:jc w:val="both"/>
        <w:rPr>
          <w:rFonts w:ascii="Arial" w:eastAsia="Arial" w:hAnsi="Arial" w:cs="Arial"/>
          <w:sz w:val="20"/>
          <w:szCs w:val="20"/>
          <w:lang w:val="pt-PT"/>
        </w:rPr>
      </w:pPr>
    </w:p>
    <w:p>
      <w:pPr>
        <w:autoSpaceDE w:val="0"/>
        <w:autoSpaceDN w:val="0"/>
        <w:adjustRightInd w:val="0"/>
        <w:spacing w:line="360" w:lineRule="auto"/>
        <w:jc w:val="both"/>
        <w:rPr>
          <w:rFonts w:ascii="Arial" w:eastAsia="Arial" w:hAnsi="Arial" w:cs="Arial"/>
          <w:sz w:val="20"/>
          <w:szCs w:val="20"/>
          <w:lang w:val="pt-PT"/>
        </w:rPr>
      </w:pPr>
      <w:r>
        <w:rPr>
          <w:rFonts w:ascii="Arial" w:eastAsia="Arial" w:hAnsi="Arial" w:cs="Arial"/>
          <w:sz w:val="20"/>
          <w:szCs w:val="20"/>
          <w:lang w:val="pt-PT"/>
        </w:rPr>
        <w:t xml:space="preserve">O/a candidato/a tem direito a igualdade de oportunidades e de tratamento, não podendo ser privilegiado/a, beneficiado/a, prejudicado/a, privado/a de qualquer direito ou isento/a de qualquer dever em razão, nomeadamente, de ascendência, idade, sexo, orientação sexual, estado civil, situação familiar, situação económica, instrução, origem ou condição social, património genético, capacidade de trabalho reduzida, deficiência, doença crónica, nacionalidade, origem étnica ou raça, território de origem, língua, religião, convicções políticas ou ideológicas e filiação sindical.</w:t>
      </w:r>
    </w:p>
    <w:sectPr>
      <w:headerReference w:type="default" r:id="rId4"/>
      <w:footerReference w:type="default" r:id="rId5"/>
      <w:type w:val="nextPage"/>
      <w:pgSz w:w="11906" w:h="16838"/>
      <w:pgMar w:top="1438" w:right="1134" w:bottom="360" w:left="1134" w:footer="324" w:header="720" w:gutter="0"/>
      <w:pgBorders>
        <w:top w:val="none" w:sz="0" w:space="0" w:color="auto"/>
        <w:left w:val="none" w:sz="0" w:space="0" w:color="auto"/>
        <w:bottom w:val="none" w:sz="0" w:space="0" w:color="auto"/>
        <w:right w:val="none" w:sz="0" w:space="0" w:color="auto"/>
        <w:insideH w:val="none" w:sz="0" w:space="0" w:color="auto"/>
        <w:insideV w:val="none" w:sz="0" w:space="0" w:color="auto"/>
        <w:tl2br w:val="none" w:sz="0" w:space="0" w:color="auto"/>
        <w:tr2bl w:val="none" w:sz="0" w:space="0" w:color="auto"/>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Auto"/>
    <w:pitch w:val="variable"/>
    <w:sig w:usb0="00000000" w:usb1="10000000" w:usb2="00000000" w:usb3="00000000" w:csb0="00000000" w:csb1="10000000"/>
  </w:font>
  <w:font w:name="Times New Roman">
    <w:panose1 w:val="02020603050405020304"/>
    <w:charset w:val="00"/>
    <w:family w:val="Auto"/>
    <w:pitch w:val="variable"/>
    <w:sig w:usb0="E0002EFF" w:usb1="C000785B" w:usb2="00000009" w:usb3="00000000" w:csb0="E0002EFF" w:csb1="C000785B"/>
  </w:font>
  <w:font w:name="Courier New">
    <w:panose1 w:val="02070309020205020404"/>
    <w:charset w:val="00"/>
    <w:family w:val="Auto"/>
    <w:pitch w:val="fixed"/>
    <w:sig w:usb0="E0002EFF" w:usb1="C0007843" w:usb2="00000009" w:usb3="00000000" w:csb0="E0002EFF" w:csb1="C0007843"/>
  </w:font>
  <w:font w:name="Wingdings">
    <w:panose1 w:val="05000000000000000000"/>
    <w:charset w:val="02"/>
    <w:family w:val="Auto"/>
    <w:pitch w:val="variable"/>
    <w:sig w:usb0="00000000" w:usb1="10000000" w:usb2="00000000" w:usb3="00000000" w:csb0="00000000" w:csb1="10000000"/>
  </w:font>
  <w:font w:name="Arial">
    <w:panose1 w:val="020B0604020202020204"/>
    <w:charset w:val="00"/>
    <w:family w:val="Auto"/>
    <w:pitch w:val="variable"/>
    <w:sig w:usb0="E0002EFF" w:usb1="C000785B" w:usb2="00000009" w:usb3="00000000" w:csb0="E0002EFF" w:csb1="C000785B"/>
  </w:font>
  <w:font w:name="Tahoma">
    <w:panose1 w:val="020B0604030504040204"/>
    <w:charset w:val="00"/>
    <w:family w:val="Auto"/>
    <w:pitch w:val="variable"/>
    <w:sig w:usb0="E1002EFF" w:usb1="C000605B" w:usb2="00000029" w:usb3="00000000" w:csb0="E1002EFF" w:csb1="C000605B"/>
  </w:font>
  <w:font w:name="Calibri">
    <w:panose1 w:val="020F0502020204030204"/>
    <w:charset w:val="00"/>
    <w:family w:val="Auto"/>
    <w:pitch w:val="variable"/>
    <w:sig w:usb0="E4002EFF" w:usb1="C200247B" w:usb2="00000009" w:usb3="00000000" w:csb0="E4002EFF" w:csb1="C200247B"/>
  </w:font>
  <w:font w:name="Calibri Light">
    <w:panose1 w:val="020F0302020204030204"/>
    <w:charset w:val="00"/>
    <w:family w:val="Auto"/>
    <w:pitch w:val="variable"/>
    <w:sig w:usb0="E4002EFF" w:usb1="C200247B" w:usb2="00000009" w:usb3="00000000" w:csb0="E4002EFF" w:csb1="C200247B"/>
  </w:font>
</w:fonts>
</file>

<file path=word/footer5.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http://schemas.openxmlformats.org/wordprocessingml/2006/main">
  <w:p>
    <w:pPr>
      <w:pStyle w:val="Rodap"/>
      <w:tabs>
        <w:tab w:pos="4252" w:val="center"/>
        <w:tab w:pos="8504" w:val="right"/>
      </w:tabs>
      <w:spacing/>
      <w:ind w:left="-180" w:right="-442"/>
      <w:rPr/>
    </w:pPr>
    <w:r>
      <w:rPr>
        <w:noProof/>
      </w:rPr>
      <w:drawing>
        <wp:inline>
          <wp:extent cx="1371600" cy="304800"/>
          <wp:effectExtent xmlns:wp="http://schemas.openxmlformats.org/drawingml/2006/wordprocessingDrawing" l="0" t="0" r="0" b="0"/>
          <wp:docPr id="1" name=""/>
          <a:graphic>
            <a:graphicData uri="http://schemas.openxmlformats.org/drawingml/2006/picture">
              <pic:pic>
                <pic:nvPicPr>
                  <pic:cNvPr id="0" name="" descr=""/>
                  <pic:cNvPicPr>
                    <a:picLocks noChangeAspect="1" noChangeArrowheads="1"/>
                  </pic:cNvPicPr>
                </pic:nvPicPr>
                <pic:blipFill>
                  <a:blip r:embed="rId7"/>
                  <a:stretch>
                    <a:fillRect/>
                  </a:stretch>
                </pic:blipFill>
                <pic:spPr bwMode="auto">
                  <a:xfrm>
                    <a:off x="0" y="0"/>
                    <a:ext cx="1371600" cy="304800"/>
                  </a:xfrm>
                  <a:prstGeom prst="rect">
                    <a:avLst/>
                  </a:prstGeom>
                </pic:spPr>
              </pic:pic>
            </a:graphicData>
          </a:graphic>
        </wp:inline>
      </w:drawing>
    </w:r>
    <w:r>
      <w:rPr/>
      <w:t xml:space="preserve">     </w:t>
    </w:r>
    <w:r>
      <w:rPr/>
      <w:t xml:space="preserve"> </w:t>
    </w:r>
    <w:r>
      <w:rPr>
        <w:noProof/>
      </w:rPr>
      <w:drawing>
        <wp:inline>
          <wp:extent cx="1209675" cy="314325"/>
          <wp:effectExtent xmlns:wp="http://schemas.openxmlformats.org/drawingml/2006/wordprocessingDrawing" l="0" t="0" r="9525" b="9525"/>
          <wp:docPr id="2" name=""/>
          <a:graphic>
            <a:graphicData uri="http://schemas.openxmlformats.org/drawingml/2006/picture">
              <pic:pic>
                <pic:nvPicPr>
                  <pic:cNvPr id="0" name="" descr=""/>
                  <pic:cNvPicPr>
                    <a:picLocks noChangeAspect="1" noChangeArrowheads="1"/>
                  </pic:cNvPicPr>
                </pic:nvPicPr>
                <pic:blipFill>
                  <a:blip r:embed="rId9"/>
                  <a:stretch>
                    <a:fillRect/>
                  </a:stretch>
                </pic:blipFill>
                <pic:spPr bwMode="auto">
                  <a:xfrm>
                    <a:off x="0" y="0"/>
                    <a:ext cx="1209675" cy="314325"/>
                  </a:xfrm>
                  <a:prstGeom prst="rect">
                    <a:avLst/>
                  </a:prstGeom>
                </pic:spPr>
              </pic:pic>
            </a:graphicData>
          </a:graphic>
        </wp:inline>
      </w:drawing>
    </w:r>
    <w:r>
      <w:rPr/>
      <w:t xml:space="preserve"> </w:t>
    </w:r>
    <w:r>
      <w:rPr/>
      <w:t xml:space="preserve">       </w:t>
    </w:r>
    <w:r>
      <w:rPr>
        <w:noProof/>
      </w:rPr>
      <w:drawing>
        <wp:inline>
          <wp:extent cx="942975" cy="552450"/>
          <wp:effectExtent xmlns:wp="http://schemas.openxmlformats.org/drawingml/2006/wordprocessingDrawing" l="0" t="0" r="9525" b="0"/>
          <wp:docPr id="3" name=""/>
          <a:graphic>
            <a:graphicData uri="http://schemas.openxmlformats.org/drawingml/2006/picture">
              <pic:pic>
                <pic:nvPicPr>
                  <pic:cNvPr id="0" name="" descr=""/>
                  <pic:cNvPicPr>
                    <a:picLocks noChangeAspect="1" noChangeArrowheads="1"/>
                  </pic:cNvPicPr>
                </pic:nvPicPr>
                <pic:blipFill>
                  <a:blip r:embed="rId11"/>
                  <a:stretch>
                    <a:fillRect/>
                  </a:stretch>
                </pic:blipFill>
                <pic:spPr bwMode="auto">
                  <a:xfrm>
                    <a:off x="0" y="0"/>
                    <a:ext cx="942975" cy="552450"/>
                  </a:xfrm>
                  <a:prstGeom prst="rect">
                    <a:avLst/>
                  </a:prstGeom>
                </pic:spPr>
              </pic:pic>
            </a:graphicData>
          </a:graphic>
        </wp:inline>
      </w:drawing>
    </w:r>
    <w:r>
      <w:rPr/>
      <w:t xml:space="preserve">       </w:t>
    </w:r>
    <w:r>
      <w:rPr>
        <w:noProof/>
      </w:rPr>
      <w:drawing>
        <wp:inline>
          <wp:extent cx="838200" cy="409575"/>
          <wp:effectExtent xmlns:wp="http://schemas.openxmlformats.org/drawingml/2006/wordprocessingDrawing" l="0" t="0" r="0" b="9525"/>
          <wp:docPr id="4" name=""/>
          <a:graphic>
            <a:graphicData uri="http://schemas.openxmlformats.org/drawingml/2006/picture">
              <pic:pic>
                <pic:nvPicPr>
                  <pic:cNvPr id="0" name="" descr=""/>
                  <pic:cNvPicPr>
                    <a:picLocks noChangeAspect="1" noChangeArrowheads="1"/>
                  </pic:cNvPicPr>
                </pic:nvPicPr>
                <pic:blipFill>
                  <a:blip r:embed="rId13"/>
                  <a:stretch>
                    <a:fillRect/>
                  </a:stretch>
                </pic:blipFill>
                <pic:spPr bwMode="auto">
                  <a:xfrm>
                    <a:off x="0" y="0"/>
                    <a:ext cx="838200" cy="409575"/>
                  </a:xfrm>
                  <a:prstGeom prst="rect">
                    <a:avLst/>
                  </a:prstGeom>
                </pic:spPr>
              </pic:pic>
            </a:graphicData>
          </a:graphic>
        </wp:inline>
      </w:drawing>
    </w:r>
    <w:r>
      <w:rPr/>
      <w:t xml:space="preserve">        </w:t>
    </w:r>
    <w:r>
      <w:rPr>
        <w:noProof/>
      </w:rPr>
      <w:drawing>
        <wp:inline>
          <wp:extent cx="952500" cy="342900"/>
          <wp:effectExtent xmlns:wp="http://schemas.openxmlformats.org/drawingml/2006/wordprocessingDrawing" l="0" t="0" r="0" b="0"/>
          <wp:docPr id="5" name=""/>
          <a:graphic>
            <a:graphicData uri="http://schemas.openxmlformats.org/drawingml/2006/picture">
              <pic:pic>
                <pic:nvPicPr>
                  <pic:cNvPr id="0" name="" descr=""/>
                  <pic:cNvPicPr>
                    <a:picLocks noChangeAspect="1" noChangeArrowheads="1"/>
                  </pic:cNvPicPr>
                </pic:nvPicPr>
                <pic:blipFill>
                  <a:blip r:embed="rId15"/>
                  <a:stretch>
                    <a:fillRect/>
                  </a:stretch>
                </pic:blipFill>
                <pic:spPr bwMode="auto">
                  <a:xfrm>
                    <a:off x="0" y="0"/>
                    <a:ext cx="952500" cy="342900"/>
                  </a:xfrm>
                  <a:prstGeom prst="rect">
                    <a:avLst/>
                  </a:prstGeom>
                </pic:spPr>
              </pic:pic>
            </a:graphicData>
          </a:graphic>
        </wp:inline>
      </w:drawing>
    </w:r>
  </w:p>
</w:ftr>
</file>

<file path=word/header4.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http://schemas.openxmlformats.org/wordprocessingml/2006/main">
  <w:p>
    <w:pPr>
      <w:pStyle w:val="Cabealho"/>
      <w:tabs>
        <w:tab w:pos="4252" w:val="center"/>
        <w:tab w:pos="8504" w:val="right"/>
      </w:tabs>
      <w:spacing/>
      <w:jc w:val="right"/>
      <w:rPr/>
    </w:pPr>
    <w:r>
      <w:rPr>
        <w:noProof/>
      </w:rPr>
      <w:drawing>
        <wp:inline>
          <wp:extent cx="2238375" cy="381000"/>
          <wp:effectExtent xmlns:wp="http://schemas.openxmlformats.org/drawingml/2006/wordprocessingDrawing" l="0" t="0" r="9525" b="0"/>
          <wp:docPr id="6" name="" descr="C:\Users\lfavas\AppData\Local\Microsoft\Windows\INetCache\Content.Word\logo_utad_completo_azul.png"/>
          <a:graphic>
            <a:graphicData uri="http://schemas.openxmlformats.org/drawingml/2006/picture">
              <pic:pic>
                <pic:nvPicPr>
                  <pic:cNvPr id="0" name="" descr=""/>
                  <pic:cNvPicPr>
                    <a:picLocks noChangeAspect="1" noChangeArrowheads="1"/>
                  </pic:cNvPicPr>
                </pic:nvPicPr>
                <pic:blipFill>
                  <a:blip r:embed="rId17"/>
                  <a:stretch>
                    <a:fillRect/>
                  </a:stretch>
                </pic:blipFill>
                <pic:spPr bwMode="auto">
                  <a:xfrm>
                    <a:off x="0" y="0"/>
                    <a:ext cx="2238375" cy="381000"/>
                  </a:xfrm>
                  <a:prstGeom prst="rect">
                    <a:avLst/>
                  </a:prstGeom>
                </pic:spPr>
              </pic:pic>
            </a:graphicData>
          </a:graphic>
        </wp:inline>
      </w:drawing>
    </w:r>
  </w:p>
  <w:p>
    <w:pPr>
      <w:pStyle w:val="Cabealho"/>
      <w:tabs>
        <w:tab w:pos="4252" w:val="center"/>
        <w:tab w:pos="8504" w:val="right"/>
      </w:tabs>
      <w:spacing/>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pPr>
        <w:spacing/>
        <w:ind w:left="1080" w:hanging="360"/>
      </w:pPr>
      <w:rPr>
        <w:rFonts w:ascii="Times New Roman" w:eastAsia="Times New Roman" w:hAnsi="Times New Roman" w:cs="Times New Roman"/>
      </w:rPr>
    </w:lvl>
    <w:lvl w:ilvl="1">
      <w:start w:val="1"/>
      <w:numFmt w:val="lowerLetter"/>
      <w:suff w:val="tab"/>
      <w:lvlText w:val="%2."/>
      <w:lvlJc w:val="right"/>
      <w:pPr>
        <w:spacing/>
        <w:ind w:left="1800" w:hanging="360"/>
      </w:pPr>
      <w:rPr>
        <w:rFonts w:ascii="Times New Roman" w:eastAsia="Times New Roman" w:hAnsi="Times New Roman" w:cs="Times New Roman"/>
      </w:rPr>
    </w:lvl>
    <w:lvl w:ilvl="2">
      <w:start w:val="1"/>
      <w:numFmt w:val="lowerRoman"/>
      <w:suff w:val="tab"/>
      <w:lvlText w:val="%3."/>
      <w:pPr>
        <w:spacing/>
        <w:ind w:left="2520" w:hanging="360"/>
      </w:pPr>
      <w:rPr>
        <w:rFonts w:ascii="Times New Roman" w:eastAsia="Times New Roman" w:hAnsi="Times New Roman" w:cs="Times New Roman"/>
      </w:rPr>
    </w:lvl>
    <w:lvl w:ilvl="3">
      <w:start w:val="1"/>
      <w:numFmt w:val="decimal"/>
      <w:suff w:val="tab"/>
      <w:lvlText w:val="%4."/>
      <w:pPr>
        <w:spacing/>
        <w:ind w:left="3240" w:hanging="360"/>
      </w:pPr>
      <w:rPr>
        <w:rFonts w:ascii="Times New Roman" w:eastAsia="Times New Roman" w:hAnsi="Times New Roman" w:cs="Times New Roman"/>
      </w:rPr>
    </w:lvl>
    <w:lvl w:ilvl="4">
      <w:start w:val="1"/>
      <w:numFmt w:val="lowerLetter"/>
      <w:suff w:val="tab"/>
      <w:lvlText w:val="%5."/>
      <w:lvlJc w:val="right"/>
      <w:pPr>
        <w:spacing/>
        <w:ind w:left="3960" w:hanging="360"/>
      </w:pPr>
      <w:rPr>
        <w:rFonts w:ascii="Times New Roman" w:eastAsia="Times New Roman" w:hAnsi="Times New Roman" w:cs="Times New Roman"/>
      </w:rPr>
    </w:lvl>
    <w:lvl w:ilvl="5">
      <w:start w:val="1"/>
      <w:numFmt w:val="lowerRoman"/>
      <w:suff w:val="tab"/>
      <w:lvlText w:val="%6."/>
      <w:pPr>
        <w:spacing/>
        <w:ind w:left="4680" w:hanging="360"/>
      </w:pPr>
      <w:rPr>
        <w:rFonts w:ascii="Times New Roman" w:eastAsia="Times New Roman" w:hAnsi="Times New Roman" w:cs="Times New Roman"/>
      </w:rPr>
    </w:lvl>
    <w:lvl w:ilvl="6">
      <w:start w:val="1"/>
      <w:numFmt w:val="decimal"/>
      <w:suff w:val="tab"/>
      <w:lvlText w:val="%7."/>
      <w:pPr>
        <w:spacing/>
        <w:ind w:left="5400" w:hanging="360"/>
      </w:pPr>
      <w:rPr>
        <w:rFonts w:ascii="Times New Roman" w:eastAsia="Times New Roman" w:hAnsi="Times New Roman" w:cs="Times New Roman"/>
      </w:rPr>
    </w:lvl>
    <w:lvl w:ilvl="7">
      <w:start w:val="1"/>
      <w:numFmt w:val="lowerLetter"/>
      <w:suff w:val="tab"/>
      <w:lvlText w:val="%8."/>
      <w:lvlJc w:val="right"/>
      <w:pPr>
        <w:spacing/>
        <w:ind w:left="6120" w:hanging="360"/>
      </w:pPr>
      <w:rPr>
        <w:rFonts w:ascii="Times New Roman" w:eastAsia="Times New Roman" w:hAnsi="Times New Roman" w:cs="Times New Roman"/>
      </w:rPr>
    </w:lvl>
    <w:lvl w:ilvl="8">
      <w:start w:val="1"/>
      <w:numFmt w:val="lowerRoman"/>
      <w:suff w:val="tab"/>
      <w:lvlText w:val="%9."/>
      <w:pPr>
        <w:spacing/>
        <w:ind w:left="6840" w:hanging="360"/>
      </w:pPr>
      <w:rPr>
        <w:rFonts w:ascii="Times New Roman" w:eastAsia="Times New Roman" w:hAnsi="Times New Roman" w:cs="Times New Roman"/>
      </w:rPr>
    </w:lvl>
  </w:abstractNum>
  <w:abstractNum w:abstractNumId="1">
    <w:multiLevelType w:val="multilevel"/>
    <w:lvl w:ilvl="0">
      <w:start w:val="1"/>
      <w:numFmt w:val="bullet"/>
      <w:suff w:val="tab"/>
      <w:lvlText w:val=""/>
      <w:pPr>
        <w:spacing/>
        <w:ind w:left="1080" w:hanging="360"/>
      </w:pPr>
      <w:rPr>
        <w:rFonts w:ascii="Symbol" w:eastAsia="Symbol" w:hAnsi="Symbol" w:cs="Symbol"/>
      </w:rPr>
    </w:lvl>
    <w:lvl w:ilvl="1">
      <w:start w:val="1"/>
      <w:numFmt w:val="bullet"/>
      <w:suff w:val="tab"/>
      <w:lvlText w:val="o"/>
      <w:pPr>
        <w:spacing/>
        <w:ind w:left="1800" w:hanging="360"/>
      </w:pPr>
      <w:rPr>
        <w:rFonts w:ascii="Courier New" w:eastAsia="Courier New" w:hAnsi="Courier New" w:cs="Courier New"/>
      </w:rPr>
    </w:lvl>
    <w:lvl w:ilvl="2">
      <w:start w:val="1"/>
      <w:numFmt w:val="bullet"/>
      <w:suff w:val="tab"/>
      <w:lvlText w:val=""/>
      <w:pPr>
        <w:spacing/>
        <w:ind w:left="2520" w:hanging="360"/>
      </w:pPr>
      <w:rPr>
        <w:rFonts w:ascii="Wingdings" w:eastAsia="Wingdings" w:hAnsi="Wingdings" w:cs="Wingdings"/>
      </w:rPr>
    </w:lvl>
    <w:lvl w:ilvl="3">
      <w:start w:val="1"/>
      <w:numFmt w:val="bullet"/>
      <w:suff w:val="tab"/>
      <w:lvlText w:val=""/>
      <w:pPr>
        <w:spacing/>
        <w:ind w:left="3240" w:hanging="360"/>
      </w:pPr>
      <w:rPr>
        <w:rFonts w:ascii="Symbol" w:eastAsia="Symbol" w:hAnsi="Symbol" w:cs="Symbol"/>
      </w:rPr>
    </w:lvl>
    <w:lvl w:ilvl="4">
      <w:start w:val="1"/>
      <w:numFmt w:val="bullet"/>
      <w:suff w:val="tab"/>
      <w:lvlText w:val="o"/>
      <w:pPr>
        <w:spacing/>
        <w:ind w:left="3960" w:hanging="360"/>
      </w:pPr>
      <w:rPr>
        <w:rFonts w:ascii="Courier New" w:eastAsia="Courier New" w:hAnsi="Courier New" w:cs="Courier New"/>
      </w:rPr>
    </w:lvl>
    <w:lvl w:ilvl="5">
      <w:start w:val="1"/>
      <w:numFmt w:val="bullet"/>
      <w:suff w:val="tab"/>
      <w:lvlText w:val=""/>
      <w:pPr>
        <w:spacing/>
        <w:ind w:left="4680" w:hanging="360"/>
      </w:pPr>
      <w:rPr>
        <w:rFonts w:ascii="Wingdings" w:eastAsia="Wingdings" w:hAnsi="Wingdings" w:cs="Wingdings"/>
      </w:rPr>
    </w:lvl>
    <w:lvl w:ilvl="6">
      <w:start w:val="1"/>
      <w:numFmt w:val="bullet"/>
      <w:suff w:val="tab"/>
      <w:lvlText w:val=""/>
      <w:pPr>
        <w:spacing/>
        <w:ind w:left="5400" w:hanging="360"/>
      </w:pPr>
      <w:rPr>
        <w:rFonts w:ascii="Symbol" w:eastAsia="Symbol" w:hAnsi="Symbol" w:cs="Symbol"/>
      </w:rPr>
    </w:lvl>
    <w:lvl w:ilvl="7">
      <w:start w:val="1"/>
      <w:numFmt w:val="bullet"/>
      <w:suff w:val="tab"/>
      <w:lvlText w:val="o"/>
      <w:pPr>
        <w:spacing/>
        <w:ind w:left="6120" w:hanging="360"/>
      </w:pPr>
      <w:rPr>
        <w:rFonts w:ascii="Courier New" w:eastAsia="Courier New" w:hAnsi="Courier New" w:cs="Courier New"/>
      </w:rPr>
    </w:lvl>
    <w:lvl w:ilvl="8">
      <w:start w:val="1"/>
      <w:numFmt w:val="bullet"/>
      <w:suff w:val="tab"/>
      <w:lvlText w:val=""/>
      <w:pPr>
        <w:spacing/>
        <w:ind w:left="6840" w:hanging="360"/>
      </w:pPr>
      <w:rPr>
        <w:rFonts w:ascii="Wingdings" w:eastAsia="Wingdings" w:hAnsi="Wingdings" w:cs="Wingdings"/>
      </w:rPr>
    </w:lvl>
  </w:abstractNum>
  <w:abstractNum w:abstractNumId="2">
    <w:multiLevelType w:val="hybridMultilevel"/>
    <w:lvl w:ilvl="0">
      <w:start w:val="1"/>
      <w:numFmt w:val="bullet"/>
      <w:suff w:val="tab"/>
      <w:lvlText w:val=""/>
      <w:pPr>
        <w:spacing/>
        <w:ind w:left="720" w:hanging="360"/>
      </w:pPr>
      <w:rPr>
        <w:rFonts w:ascii="Symbol" w:eastAsia="Symbol" w:hAnsi="Symbol" w:cs="Symbol" w:hint="default"/>
      </w:rPr>
    </w:lvl>
    <w:lvl w:ilvl="1">
      <w:start w:val="1"/>
      <w:numFmt w:val="bullet"/>
      <w:suff w:val="tab"/>
      <w:lvlText w:val="o"/>
      <w:pPr>
        <w:spacing/>
        <w:ind w:left="1440" w:hanging="360"/>
      </w:pPr>
      <w:rPr>
        <w:rFonts w:ascii="Courier New" w:eastAsia="Courier New" w:hAnsi="Courier New" w:cs="Courier New" w:hint="default"/>
      </w:rPr>
    </w:lvl>
    <w:lvl w:ilvl="2">
      <w:start w:val="1"/>
      <w:numFmt w:val="bullet"/>
      <w:suff w:val="tab"/>
      <w:lvlText w:val=""/>
      <w:pPr>
        <w:spacing/>
        <w:ind w:left="2160" w:hanging="360"/>
      </w:pPr>
      <w:rPr>
        <w:rFonts w:ascii="Wingdings" w:eastAsia="Wingdings" w:hAnsi="Wingdings" w:cs="Wingdings" w:hint="default"/>
      </w:rPr>
    </w:lvl>
    <w:lvl w:ilvl="3">
      <w:start w:val="1"/>
      <w:numFmt w:val="bullet"/>
      <w:suff w:val="tab"/>
      <w:lvlText w:val=""/>
      <w:pPr>
        <w:spacing/>
        <w:ind w:left="2880" w:hanging="360"/>
      </w:pPr>
      <w:rPr>
        <w:rFonts w:ascii="Symbol" w:eastAsia="Symbol" w:hAnsi="Symbol" w:cs="Symbol" w:hint="default"/>
      </w:rPr>
    </w:lvl>
    <w:lvl w:ilvl="4">
      <w:start w:val="1"/>
      <w:numFmt w:val="bullet"/>
      <w:suff w:val="tab"/>
      <w:lvlText w:val="o"/>
      <w:pPr>
        <w:spacing/>
        <w:ind w:left="3600" w:hanging="360"/>
      </w:pPr>
      <w:rPr>
        <w:rFonts w:ascii="Courier New" w:eastAsia="Courier New" w:hAnsi="Courier New" w:cs="Courier New" w:hint="default"/>
      </w:rPr>
    </w:lvl>
    <w:lvl w:ilvl="5">
      <w:start w:val="1"/>
      <w:numFmt w:val="bullet"/>
      <w:suff w:val="tab"/>
      <w:lvlText w:val=""/>
      <w:pPr>
        <w:spacing/>
        <w:ind w:left="4320" w:hanging="360"/>
      </w:pPr>
      <w:rPr>
        <w:rFonts w:ascii="Wingdings" w:eastAsia="Wingdings" w:hAnsi="Wingdings" w:cs="Wingdings" w:hint="default"/>
      </w:rPr>
    </w:lvl>
    <w:lvl w:ilvl="6">
      <w:start w:val="1"/>
      <w:numFmt w:val="bullet"/>
      <w:suff w:val="tab"/>
      <w:lvlText w:val=""/>
      <w:pPr>
        <w:spacing/>
        <w:ind w:left="5040" w:hanging="360"/>
      </w:pPr>
      <w:rPr>
        <w:rFonts w:ascii="Symbol" w:eastAsia="Symbol" w:hAnsi="Symbol" w:cs="Symbol" w:hint="default"/>
      </w:rPr>
    </w:lvl>
    <w:lvl w:ilvl="7">
      <w:start w:val="1"/>
      <w:numFmt w:val="bullet"/>
      <w:suff w:val="tab"/>
      <w:lvlText w:val="o"/>
      <w:pPr>
        <w:spacing/>
        <w:ind w:left="5760" w:hanging="360"/>
      </w:pPr>
      <w:rPr>
        <w:rFonts w:ascii="Courier New" w:eastAsia="Courier New" w:hAnsi="Courier New" w:cs="Courier New" w:hint="default"/>
      </w:rPr>
    </w:lvl>
    <w:lvl w:ilvl="8">
      <w:start w:val="1"/>
      <w:numFmt w:val="bullet"/>
      <w:suff w:val="tab"/>
      <w:lvlText w:val=""/>
      <w:pPr>
        <w:spacing/>
        <w:ind w:left="6480" w:hanging="360"/>
      </w:pPr>
      <w:rPr>
        <w:rFonts w:ascii="Wingdings" w:eastAsia="Wingdings" w:hAnsi="Wingdings" w:cs="Wingdings" w:hint="default"/>
      </w:rPr>
    </w:lvl>
  </w:abstractNum>
  <w:abstractNum w:abstractNumId="3">
    <w:multiLevelType w:val="hybridMultilevel"/>
    <w:lvl w:ilvl="0">
      <w:start w:val="0"/>
      <w:numFmt w:val="bullet"/>
      <w:suff w:val="tab"/>
      <w:lvlText w:val=""/>
      <w:pPr>
        <w:spacing/>
        <w:ind w:left="720" w:hanging="360"/>
      </w:pPr>
      <w:rPr>
        <w:rFonts w:ascii="Symbol" w:eastAsia="Times New Roman" w:hAnsi="Symbol" w:cs="Arial" w:hint="default"/>
      </w:rPr>
    </w:lvl>
    <w:lvl w:ilvl="1">
      <w:start w:val="1"/>
      <w:numFmt w:val="bullet"/>
      <w:suff w:val="tab"/>
      <w:lvlText w:val="o"/>
      <w:pPr>
        <w:spacing/>
        <w:ind w:left="1440" w:hanging="360"/>
      </w:pPr>
      <w:rPr>
        <w:rFonts w:ascii="Courier New" w:eastAsia="Courier New" w:hAnsi="Courier New" w:cs="Courier New" w:hint="default"/>
      </w:rPr>
    </w:lvl>
    <w:lvl w:ilvl="2">
      <w:start w:val="1"/>
      <w:numFmt w:val="bullet"/>
      <w:suff w:val="tab"/>
      <w:lvlText w:val=""/>
      <w:pPr>
        <w:spacing/>
        <w:ind w:left="2160" w:hanging="360"/>
      </w:pPr>
      <w:rPr>
        <w:rFonts w:ascii="Wingdings" w:eastAsia="Wingdings" w:hAnsi="Wingdings" w:cs="Wingdings" w:hint="default"/>
      </w:rPr>
    </w:lvl>
    <w:lvl w:ilvl="3">
      <w:start w:val="1"/>
      <w:numFmt w:val="bullet"/>
      <w:suff w:val="tab"/>
      <w:lvlText w:val=""/>
      <w:pPr>
        <w:spacing/>
        <w:ind w:left="2880" w:hanging="360"/>
      </w:pPr>
      <w:rPr>
        <w:rFonts w:ascii="Symbol" w:eastAsia="Symbol" w:hAnsi="Symbol" w:cs="Symbol" w:hint="default"/>
      </w:rPr>
    </w:lvl>
    <w:lvl w:ilvl="4">
      <w:start w:val="1"/>
      <w:numFmt w:val="bullet"/>
      <w:suff w:val="tab"/>
      <w:lvlText w:val="o"/>
      <w:pPr>
        <w:spacing/>
        <w:ind w:left="3600" w:hanging="360"/>
      </w:pPr>
      <w:rPr>
        <w:rFonts w:ascii="Courier New" w:eastAsia="Courier New" w:hAnsi="Courier New" w:cs="Courier New" w:hint="default"/>
      </w:rPr>
    </w:lvl>
    <w:lvl w:ilvl="5">
      <w:start w:val="1"/>
      <w:numFmt w:val="bullet"/>
      <w:suff w:val="tab"/>
      <w:lvlText w:val=""/>
      <w:pPr>
        <w:spacing/>
        <w:ind w:left="4320" w:hanging="360"/>
      </w:pPr>
      <w:rPr>
        <w:rFonts w:ascii="Wingdings" w:eastAsia="Wingdings" w:hAnsi="Wingdings" w:cs="Wingdings" w:hint="default"/>
      </w:rPr>
    </w:lvl>
    <w:lvl w:ilvl="6">
      <w:start w:val="1"/>
      <w:numFmt w:val="bullet"/>
      <w:suff w:val="tab"/>
      <w:lvlText w:val=""/>
      <w:pPr>
        <w:spacing/>
        <w:ind w:left="5040" w:hanging="360"/>
      </w:pPr>
      <w:rPr>
        <w:rFonts w:ascii="Symbol" w:eastAsia="Symbol" w:hAnsi="Symbol" w:cs="Symbol" w:hint="default"/>
      </w:rPr>
    </w:lvl>
    <w:lvl w:ilvl="7">
      <w:start w:val="1"/>
      <w:numFmt w:val="bullet"/>
      <w:suff w:val="tab"/>
      <w:lvlText w:val="o"/>
      <w:pPr>
        <w:spacing/>
        <w:ind w:left="5760" w:hanging="360"/>
      </w:pPr>
      <w:rPr>
        <w:rFonts w:ascii="Courier New" w:eastAsia="Courier New" w:hAnsi="Courier New" w:cs="Courier New" w:hint="default"/>
      </w:rPr>
    </w:lvl>
    <w:lvl w:ilvl="8">
      <w:start w:val="1"/>
      <w:numFmt w:val="bullet"/>
      <w:suff w:val="tab"/>
      <w:lvlText w:val=""/>
      <w:pPr>
        <w:spacing/>
        <w:ind w:left="6480" w:hanging="360"/>
      </w:pPr>
      <w:rPr>
        <w:rFonts w:ascii="Wingdings" w:eastAsia="Wingdings" w:hAnsi="Wingdings" w:cs="Wingdings" w:hint="default"/>
      </w:rPr>
    </w:lvl>
  </w:abstractNum>
  <w:abstractNum w:abstractNumId="4">
    <w:multiLevelType w:val="hybridMultilevel"/>
    <w:lvl w:ilvl="0">
      <w:start w:val="0"/>
      <w:numFmt w:val="bullet"/>
      <w:suff w:val="tab"/>
      <w:lvlText w:val=""/>
      <w:pPr>
        <w:spacing/>
        <w:ind w:left="720" w:hanging="360"/>
      </w:pPr>
      <w:rPr>
        <w:rFonts w:ascii="Symbol" w:eastAsia="Times New Roman" w:hAnsi="Symbol" w:cs="Arial" w:hint="default"/>
      </w:rPr>
    </w:lvl>
    <w:lvl w:ilvl="1">
      <w:start w:val="1"/>
      <w:numFmt w:val="bullet"/>
      <w:suff w:val="tab"/>
      <w:lvlText w:val="o"/>
      <w:pPr>
        <w:spacing/>
        <w:ind w:left="1440" w:hanging="360"/>
      </w:pPr>
      <w:rPr>
        <w:rFonts w:ascii="Courier New" w:eastAsia="Courier New" w:hAnsi="Courier New" w:cs="Courier New" w:hint="default"/>
      </w:rPr>
    </w:lvl>
    <w:lvl w:ilvl="2">
      <w:start w:val="1"/>
      <w:numFmt w:val="bullet"/>
      <w:suff w:val="tab"/>
      <w:lvlText w:val=""/>
      <w:pPr>
        <w:spacing/>
        <w:ind w:left="2160" w:hanging="360"/>
      </w:pPr>
      <w:rPr>
        <w:rFonts w:ascii="Wingdings" w:eastAsia="Wingdings" w:hAnsi="Wingdings" w:cs="Wingdings" w:hint="default"/>
      </w:rPr>
    </w:lvl>
    <w:lvl w:ilvl="3">
      <w:start w:val="1"/>
      <w:numFmt w:val="bullet"/>
      <w:suff w:val="tab"/>
      <w:lvlText w:val=""/>
      <w:pPr>
        <w:spacing/>
        <w:ind w:left="2880" w:hanging="360"/>
      </w:pPr>
      <w:rPr>
        <w:rFonts w:ascii="Symbol" w:eastAsia="Symbol" w:hAnsi="Symbol" w:cs="Symbol" w:hint="default"/>
      </w:rPr>
    </w:lvl>
    <w:lvl w:ilvl="4">
      <w:start w:val="1"/>
      <w:numFmt w:val="bullet"/>
      <w:suff w:val="tab"/>
      <w:lvlText w:val="o"/>
      <w:pPr>
        <w:spacing/>
        <w:ind w:left="3600" w:hanging="360"/>
      </w:pPr>
      <w:rPr>
        <w:rFonts w:ascii="Courier New" w:eastAsia="Courier New" w:hAnsi="Courier New" w:cs="Courier New" w:hint="default"/>
      </w:rPr>
    </w:lvl>
    <w:lvl w:ilvl="5">
      <w:start w:val="1"/>
      <w:numFmt w:val="bullet"/>
      <w:suff w:val="tab"/>
      <w:lvlText w:val=""/>
      <w:pPr>
        <w:spacing/>
        <w:ind w:left="4320" w:hanging="360"/>
      </w:pPr>
      <w:rPr>
        <w:rFonts w:ascii="Wingdings" w:eastAsia="Wingdings" w:hAnsi="Wingdings" w:cs="Wingdings" w:hint="default"/>
      </w:rPr>
    </w:lvl>
    <w:lvl w:ilvl="6">
      <w:start w:val="1"/>
      <w:numFmt w:val="bullet"/>
      <w:suff w:val="tab"/>
      <w:lvlText w:val=""/>
      <w:pPr>
        <w:spacing/>
        <w:ind w:left="5040" w:hanging="360"/>
      </w:pPr>
      <w:rPr>
        <w:rFonts w:ascii="Symbol" w:eastAsia="Symbol" w:hAnsi="Symbol" w:cs="Symbol" w:hint="default"/>
      </w:rPr>
    </w:lvl>
    <w:lvl w:ilvl="7">
      <w:start w:val="1"/>
      <w:numFmt w:val="bullet"/>
      <w:suff w:val="tab"/>
      <w:lvlText w:val="o"/>
      <w:pPr>
        <w:spacing/>
        <w:ind w:left="5760" w:hanging="360"/>
      </w:pPr>
      <w:rPr>
        <w:rFonts w:ascii="Courier New" w:eastAsia="Courier New" w:hAnsi="Courier New" w:cs="Courier New" w:hint="default"/>
      </w:rPr>
    </w:lvl>
    <w:lvl w:ilvl="8">
      <w:start w:val="1"/>
      <w:numFmt w:val="bullet"/>
      <w:suff w:val="tab"/>
      <w:lvlText w:val=""/>
      <w:pPr>
        <w:spacing/>
        <w:ind w:left="6480" w:hanging="360"/>
      </w:pPr>
      <w:rPr>
        <w:rFonts w:ascii="Wingdings" w:eastAsia="Wingdings" w:hAnsi="Wingdings" w:cs="Wingdings" w:hint="default"/>
      </w:rPr>
    </w:lvl>
  </w:abstractNum>
  <w:abstractNum w:abstractNumId="5">
    <w:multiLevelType w:val="singleLevel"/>
    <w:lvl w:ilvl="0">
      <w:start w:val="0"/>
      <w:numFmt w:val="bullet"/>
      <w:suff w:val="tab"/>
      <w:lvlText w:val="-"/>
      <w:pPr>
        <w:tabs>
          <w:tab w:pos="360" w:val="num"/>
        </w:tabs>
        <w:spacing/>
        <w:ind w:left="360" w:hanging="360"/>
      </w:pPr>
      <w:rPr>
        <w:rFonts w:hint="default"/>
      </w:rPr>
    </w:lvl>
  </w:abstractNum>
  <w:abstractNum w:abstractNumId="6">
    <w:multiLevelType w:val="hybridMultilevel"/>
    <w:lvl w:ilvl="0">
      <w:start w:val="1"/>
      <w:numFmt w:val="decimal"/>
      <w:suff w:val="tab"/>
      <w:lvlText w:val="%1."/>
      <w:pPr>
        <w:tabs>
          <w:tab w:pos="720" w:val="num"/>
        </w:tabs>
        <w:spacing/>
        <w:ind w:left="720" w:hanging="360"/>
      </w:pPr>
      <w:rPr>
        <w:rFonts w:ascii="Times New Roman" w:eastAsia="Times New Roman" w:hAnsi="Times New Roman" w:cs="Times New Roman"/>
      </w:rPr>
    </w:lvl>
    <w:lvl w:ilvl="1">
      <w:start w:val="1"/>
      <w:numFmt w:val="bullet"/>
      <w:suff w:val="tab"/>
      <w:lvlText w:val="o"/>
      <w:pPr>
        <w:tabs>
          <w:tab w:pos="1440" w:val="num"/>
        </w:tabs>
        <w:spacing/>
        <w:ind w:left="1440" w:hanging="360"/>
      </w:pPr>
      <w:rPr>
        <w:rFonts w:ascii="Courier New" w:eastAsia="Courier New" w:hAnsi="Courier New" w:cs="Courier New" w:hint="default"/>
      </w:rPr>
    </w:lvl>
    <w:lvl w:ilvl="2">
      <w:start w:val="1"/>
      <w:numFmt w:val="bullet"/>
      <w:suff w:val="tab"/>
      <w:lvlText w:val=""/>
      <w:pPr>
        <w:tabs>
          <w:tab w:pos="2160" w:val="num"/>
        </w:tabs>
        <w:spacing/>
        <w:ind w:left="2160" w:hanging="360"/>
      </w:pPr>
      <w:rPr>
        <w:rFonts w:ascii="Wingdings" w:eastAsia="Wingdings" w:hAnsi="Wingdings" w:cs="Wingdings" w:hint="default"/>
      </w:rPr>
    </w:lvl>
    <w:lvl w:ilvl="3">
      <w:start w:val="1"/>
      <w:numFmt w:val="bullet"/>
      <w:suff w:val="tab"/>
      <w:lvlText w:val=""/>
      <w:pPr>
        <w:tabs>
          <w:tab w:pos="2880" w:val="num"/>
        </w:tabs>
        <w:spacing/>
        <w:ind w:left="2880" w:hanging="360"/>
      </w:pPr>
      <w:rPr>
        <w:rFonts w:ascii="Symbol" w:eastAsia="Symbol" w:hAnsi="Symbol" w:cs="Symbol" w:hint="default"/>
      </w:rPr>
    </w:lvl>
    <w:lvl w:ilvl="4">
      <w:start w:val="1"/>
      <w:numFmt w:val="bullet"/>
      <w:suff w:val="tab"/>
      <w:lvlText w:val="o"/>
      <w:pPr>
        <w:tabs>
          <w:tab w:pos="3600" w:val="num"/>
        </w:tabs>
        <w:spacing/>
        <w:ind w:left="3600" w:hanging="360"/>
      </w:pPr>
      <w:rPr>
        <w:rFonts w:ascii="Courier New" w:eastAsia="Courier New" w:hAnsi="Courier New" w:cs="Courier New" w:hint="default"/>
      </w:rPr>
    </w:lvl>
    <w:lvl w:ilvl="5">
      <w:start w:val="1"/>
      <w:numFmt w:val="bullet"/>
      <w:suff w:val="tab"/>
      <w:lvlText w:val=""/>
      <w:pPr>
        <w:tabs>
          <w:tab w:pos="4320" w:val="num"/>
        </w:tabs>
        <w:spacing/>
        <w:ind w:left="4320" w:hanging="360"/>
      </w:pPr>
      <w:rPr>
        <w:rFonts w:ascii="Wingdings" w:eastAsia="Wingdings" w:hAnsi="Wingdings" w:cs="Wingdings" w:hint="default"/>
      </w:rPr>
    </w:lvl>
    <w:lvl w:ilvl="6">
      <w:start w:val="1"/>
      <w:numFmt w:val="bullet"/>
      <w:suff w:val="tab"/>
      <w:lvlText w:val=""/>
      <w:pPr>
        <w:tabs>
          <w:tab w:pos="5040" w:val="num"/>
        </w:tabs>
        <w:spacing/>
        <w:ind w:left="5040" w:hanging="360"/>
      </w:pPr>
      <w:rPr>
        <w:rFonts w:ascii="Symbol" w:eastAsia="Symbol" w:hAnsi="Symbol" w:cs="Symbol" w:hint="default"/>
      </w:rPr>
    </w:lvl>
    <w:lvl w:ilvl="7">
      <w:start w:val="1"/>
      <w:numFmt w:val="bullet"/>
      <w:suff w:val="tab"/>
      <w:lvlText w:val="o"/>
      <w:pPr>
        <w:tabs>
          <w:tab w:pos="5760" w:val="num"/>
        </w:tabs>
        <w:spacing/>
        <w:ind w:left="5760" w:hanging="360"/>
      </w:pPr>
      <w:rPr>
        <w:rFonts w:ascii="Courier New" w:eastAsia="Courier New" w:hAnsi="Courier New" w:cs="Courier New" w:hint="default"/>
      </w:rPr>
    </w:lvl>
    <w:lvl w:ilvl="8">
      <w:start w:val="1"/>
      <w:numFmt w:val="bullet"/>
      <w:suff w:val="tab"/>
      <w:lvlText w:val=""/>
      <w:pPr>
        <w:tabs>
          <w:tab w:pos="6480" w:val="num"/>
        </w:tabs>
        <w:spacing/>
        <w:ind w:left="6480" w:hanging="360"/>
      </w:pPr>
      <w:rPr>
        <w:rFonts w:ascii="Wingdings" w:eastAsia="Wingdings" w:hAnsi="Wingdings" w:cs="Wingdings" w:hint="default"/>
      </w:rPr>
    </w:lvl>
  </w:abstractNum>
  <w:abstractNum w:abstractNumId="7">
    <w:multiLevelType w:val="hybridMultilevel"/>
    <w:lvl w:ilvl="0">
      <w:start w:val="0"/>
      <w:numFmt w:val="bullet"/>
      <w:suff w:val="tab"/>
      <w:lvlText w:val=""/>
      <w:pPr>
        <w:spacing/>
        <w:ind w:left="720" w:hanging="360"/>
      </w:pPr>
      <w:rPr>
        <w:rFonts w:ascii="Symbol" w:eastAsia="Times New Roman" w:hAnsi="Symbol" w:cs="Arial" w:hint="default"/>
      </w:rPr>
    </w:lvl>
    <w:lvl w:ilvl="1">
      <w:start w:val="1"/>
      <w:numFmt w:val="bullet"/>
      <w:suff w:val="tab"/>
      <w:lvlText w:val="o"/>
      <w:pPr>
        <w:spacing/>
        <w:ind w:left="1440" w:hanging="360"/>
      </w:pPr>
      <w:rPr>
        <w:rFonts w:ascii="Courier New" w:eastAsia="Courier New" w:hAnsi="Courier New" w:cs="Courier New" w:hint="default"/>
      </w:rPr>
    </w:lvl>
    <w:lvl w:ilvl="2">
      <w:start w:val="1"/>
      <w:numFmt w:val="bullet"/>
      <w:suff w:val="tab"/>
      <w:lvlText w:val=""/>
      <w:pPr>
        <w:spacing/>
        <w:ind w:left="2160" w:hanging="360"/>
      </w:pPr>
      <w:rPr>
        <w:rFonts w:ascii="Wingdings" w:eastAsia="Wingdings" w:hAnsi="Wingdings" w:cs="Wingdings" w:hint="default"/>
      </w:rPr>
    </w:lvl>
    <w:lvl w:ilvl="3">
      <w:start w:val="1"/>
      <w:numFmt w:val="bullet"/>
      <w:suff w:val="tab"/>
      <w:lvlText w:val=""/>
      <w:pPr>
        <w:spacing/>
        <w:ind w:left="2880" w:hanging="360"/>
      </w:pPr>
      <w:rPr>
        <w:rFonts w:ascii="Symbol" w:eastAsia="Symbol" w:hAnsi="Symbol" w:cs="Symbol" w:hint="default"/>
      </w:rPr>
    </w:lvl>
    <w:lvl w:ilvl="4">
      <w:start w:val="1"/>
      <w:numFmt w:val="bullet"/>
      <w:suff w:val="tab"/>
      <w:lvlText w:val="o"/>
      <w:pPr>
        <w:spacing/>
        <w:ind w:left="3600" w:hanging="360"/>
      </w:pPr>
      <w:rPr>
        <w:rFonts w:ascii="Courier New" w:eastAsia="Courier New" w:hAnsi="Courier New" w:cs="Courier New" w:hint="default"/>
      </w:rPr>
    </w:lvl>
    <w:lvl w:ilvl="5">
      <w:start w:val="1"/>
      <w:numFmt w:val="bullet"/>
      <w:suff w:val="tab"/>
      <w:lvlText w:val=""/>
      <w:pPr>
        <w:spacing/>
        <w:ind w:left="4320" w:hanging="360"/>
      </w:pPr>
      <w:rPr>
        <w:rFonts w:ascii="Wingdings" w:eastAsia="Wingdings" w:hAnsi="Wingdings" w:cs="Wingdings" w:hint="default"/>
      </w:rPr>
    </w:lvl>
    <w:lvl w:ilvl="6">
      <w:start w:val="1"/>
      <w:numFmt w:val="bullet"/>
      <w:suff w:val="tab"/>
      <w:lvlText w:val=""/>
      <w:pPr>
        <w:spacing/>
        <w:ind w:left="5040" w:hanging="360"/>
      </w:pPr>
      <w:rPr>
        <w:rFonts w:ascii="Symbol" w:eastAsia="Symbol" w:hAnsi="Symbol" w:cs="Symbol" w:hint="default"/>
      </w:rPr>
    </w:lvl>
    <w:lvl w:ilvl="7">
      <w:start w:val="1"/>
      <w:numFmt w:val="bullet"/>
      <w:suff w:val="tab"/>
      <w:lvlText w:val="o"/>
      <w:pPr>
        <w:spacing/>
        <w:ind w:left="5760" w:hanging="360"/>
      </w:pPr>
      <w:rPr>
        <w:rFonts w:ascii="Courier New" w:eastAsia="Courier New" w:hAnsi="Courier New" w:cs="Courier New" w:hint="default"/>
      </w:rPr>
    </w:lvl>
    <w:lvl w:ilvl="8">
      <w:start w:val="1"/>
      <w:numFmt w:val="bullet"/>
      <w:suff w:val="tab"/>
      <w:lvlText w:val=""/>
      <w:pPr>
        <w:spacing/>
        <w:ind w:left="6480" w:hanging="360"/>
      </w:pPr>
      <w:rPr>
        <w:rFonts w:ascii="Wingdings" w:eastAsia="Wingdings" w:hAnsi="Wingdings" w:cs="Wingdings" w:hint="default"/>
      </w:rPr>
    </w:lvl>
  </w:abstractNum>
  <w:abstractNum w:abstractNumId="8">
    <w:multiLevelType w:val="singleLevel"/>
    <w:lvl w:ilvl="0">
      <w:start w:val="0"/>
      <w:numFmt w:val="bullet"/>
      <w:suff w:val="tab"/>
      <w:lvlText w:val="-"/>
      <w:pPr>
        <w:tabs>
          <w:tab w:pos="360" w:val="num"/>
        </w:tabs>
        <w:spacing/>
        <w:ind w:left="360" w:hanging="360"/>
      </w:pPr>
      <w:rPr>
        <w:rFonts w:hint="default"/>
      </w:rPr>
    </w:lvl>
  </w:abstractNum>
  <w:abstractNum w:abstractNumId="9">
    <w:multiLevelType w:val="hybridMultilevel"/>
    <w:lvl w:ilvl="0">
      <w:start w:val="1"/>
      <w:numFmt w:val="bullet"/>
      <w:suff w:val="tab"/>
      <w:lvlText w:val=""/>
      <w:pPr>
        <w:tabs>
          <w:tab w:pos="720" w:val="num"/>
        </w:tabs>
        <w:spacing/>
        <w:ind w:left="720" w:hanging="360"/>
      </w:pPr>
      <w:rPr>
        <w:rFonts w:ascii="Symbol" w:eastAsia="Symbol" w:hAnsi="Symbol" w:cs="Symbol" w:hint="default"/>
      </w:rPr>
    </w:lvl>
    <w:lvl w:ilvl="1">
      <w:start w:val="1"/>
      <w:numFmt w:val="bullet"/>
      <w:suff w:val="tab"/>
      <w:lvlText w:val="o"/>
      <w:pPr>
        <w:tabs>
          <w:tab w:pos="1440" w:val="num"/>
        </w:tabs>
        <w:spacing/>
        <w:ind w:left="1440" w:hanging="360"/>
      </w:pPr>
      <w:rPr>
        <w:rFonts w:ascii="Courier New" w:eastAsia="Courier New" w:hAnsi="Courier New" w:cs="Courier New" w:hint="default"/>
      </w:rPr>
    </w:lvl>
    <w:lvl w:ilvl="2">
      <w:start w:val="1"/>
      <w:numFmt w:val="bullet"/>
      <w:suff w:val="tab"/>
      <w:lvlText w:val=""/>
      <w:pPr>
        <w:tabs>
          <w:tab w:pos="2160" w:val="num"/>
        </w:tabs>
        <w:spacing/>
        <w:ind w:left="2160" w:hanging="360"/>
      </w:pPr>
      <w:rPr>
        <w:rFonts w:ascii="Wingdings" w:eastAsia="Wingdings" w:hAnsi="Wingdings" w:cs="Wingdings" w:hint="default"/>
      </w:rPr>
    </w:lvl>
    <w:lvl w:ilvl="3">
      <w:start w:val="1"/>
      <w:numFmt w:val="bullet"/>
      <w:suff w:val="tab"/>
      <w:lvlText w:val=""/>
      <w:pPr>
        <w:tabs>
          <w:tab w:pos="2880" w:val="num"/>
        </w:tabs>
        <w:spacing/>
        <w:ind w:left="2880" w:hanging="360"/>
      </w:pPr>
      <w:rPr>
        <w:rFonts w:ascii="Symbol" w:eastAsia="Symbol" w:hAnsi="Symbol" w:cs="Symbol" w:hint="default"/>
      </w:rPr>
    </w:lvl>
    <w:lvl w:ilvl="4">
      <w:start w:val="1"/>
      <w:numFmt w:val="bullet"/>
      <w:suff w:val="tab"/>
      <w:lvlText w:val="o"/>
      <w:pPr>
        <w:tabs>
          <w:tab w:pos="3600" w:val="num"/>
        </w:tabs>
        <w:spacing/>
        <w:ind w:left="3600" w:hanging="360"/>
      </w:pPr>
      <w:rPr>
        <w:rFonts w:ascii="Courier New" w:eastAsia="Courier New" w:hAnsi="Courier New" w:cs="Courier New" w:hint="default"/>
      </w:rPr>
    </w:lvl>
    <w:lvl w:ilvl="5">
      <w:start w:val="1"/>
      <w:numFmt w:val="bullet"/>
      <w:suff w:val="tab"/>
      <w:lvlText w:val=""/>
      <w:pPr>
        <w:tabs>
          <w:tab w:pos="4320" w:val="num"/>
        </w:tabs>
        <w:spacing/>
        <w:ind w:left="4320" w:hanging="360"/>
      </w:pPr>
      <w:rPr>
        <w:rFonts w:ascii="Wingdings" w:eastAsia="Wingdings" w:hAnsi="Wingdings" w:cs="Wingdings" w:hint="default"/>
      </w:rPr>
    </w:lvl>
    <w:lvl w:ilvl="6">
      <w:start w:val="1"/>
      <w:numFmt w:val="bullet"/>
      <w:suff w:val="tab"/>
      <w:lvlText w:val=""/>
      <w:pPr>
        <w:tabs>
          <w:tab w:pos="5040" w:val="num"/>
        </w:tabs>
        <w:spacing/>
        <w:ind w:left="5040" w:hanging="360"/>
      </w:pPr>
      <w:rPr>
        <w:rFonts w:ascii="Symbol" w:eastAsia="Symbol" w:hAnsi="Symbol" w:cs="Symbol" w:hint="default"/>
      </w:rPr>
    </w:lvl>
    <w:lvl w:ilvl="7">
      <w:start w:val="1"/>
      <w:numFmt w:val="bullet"/>
      <w:suff w:val="tab"/>
      <w:lvlText w:val="o"/>
      <w:pPr>
        <w:tabs>
          <w:tab w:pos="5760" w:val="num"/>
        </w:tabs>
        <w:spacing/>
        <w:ind w:left="5760" w:hanging="360"/>
      </w:pPr>
      <w:rPr>
        <w:rFonts w:ascii="Courier New" w:eastAsia="Courier New" w:hAnsi="Courier New" w:cs="Courier New" w:hint="default"/>
      </w:rPr>
    </w:lvl>
    <w:lvl w:ilvl="8">
      <w:start w:val="1"/>
      <w:numFmt w:val="bullet"/>
      <w:suff w:val="tab"/>
      <w:lvlText w:val=""/>
      <w:pPr>
        <w:tabs>
          <w:tab w:pos="6480" w:val="num"/>
        </w:tabs>
        <w:spacing/>
        <w:ind w:left="6480" w:hanging="360"/>
      </w:pPr>
      <w:rPr>
        <w:rFonts w:ascii="Wingdings" w:eastAsia="Wingdings" w:hAnsi="Wingdings" w:cs="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grammar="clean"/>
  <w:defaultTabStop w:val="720"/>
  <w:characterSpacingControl w:val="doNotCompress"/>
  <w:hyphenationZone w:val="425"/>
  <w:footnotePr>
    <w:pos w:val="pageBottom"/>
    <w:numFmt w:val="decimal"/>
    <w:numRestart w:val="continuous"/>
    <w:numStart w:val="1"/>
  </w:footnotePr>
  <w:endnotePr>
    <w:pos w:val="docEnd"/>
    <w:numFmt w:val="lowerRoman"/>
    <w:numRestart w:val="continuous"/>
    <w:numStart w:val="1"/>
  </w:endnotePr>
  <w:embedSystemFonts xmlns:w="http://schemas.openxmlformats.org/wordprocessingml/2006/main"/>
  <w:stylePaneFormatFilter xmlns:w="http://schemas.openxmlformats.org/wordprocessingml/2006/main"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noPunctuationKerning xmlns:w="http://schemas.openxmlformats.org/wordprocessingml/2006/main"/>
  <w:doNotIncludeSubdocsInStats xmlns:w="http://schemas.openxmlformats.org/wordprocessingml/2006/main"/>
  <w:decimalSymbol xmlns:w="http://schemas.openxmlformats.org/wordprocessingml/2006/main" w:val=","/>
  <w:listSeparator xmlns:w="http://schemas.openxmlformats.org/wordprocessingml/2006/main" w:val=";"/>
  <w14:docId xmlns:w14="http://schemas.microsoft.com/office/word/2010/wordml" w14:val="768EB6D0"/>
  <w15:chartTrackingRefBased xmlns:w15="http://schemas.microsoft.com/office/word/2012/wordml"/>
  <w15:docId xmlns:w15="http://schemas.microsoft.com/office/word/2012/wordml" w15:val="{4C4CE3F4-4D8E-466F-B4D7-75B8FBA31D63}"/>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PT" w:eastAsia="zh-CN" w:bidi="ar-S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PT" w:eastAsia="pt-PT" w:bidi="ar-SA"/>
      </w:rPr>
    </w:rPrDefault>
    <w:pPrDefault>
      <w:pPr>
        <w:spacing/>
      </w:pPr>
    </w:pPrDefault>
  </w:docDefaults>
  <w:latentStyles xmlns:w="http://schemas.openxmlformats.org/wordprocessingml/2006/main"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uiPriority="11" w:qFormat="1"/>
    <w:lsdException w:name="Strong" w:uiPriority="22"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numbering" w:default="1" w:styleId="NoList">
    <w:name w:val="No List"/>
    <w:uiPriority w:val="99"/>
    <w:semiHidden/>
    <w:unhideWhenUsed/>
  </w:style>
  <w:style w:type="table" w:styleId="TableGrid">
    <w:name w:val="Table Grid"/>
    <w:basedOn w:val="TableNormal"/>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 w:default="1">
    <w:name w:val="Normal"/>
    <w:next w:val="Normal"/>
    <w:qFormat/>
    <w:pPr>
      <w:spacing/>
    </w:pPr>
    <w:rPr>
      <w:sz w:val="24"/>
      <w:szCs w:val="24"/>
      <w:lang w:val="en-GB" w:eastAsia="en-US"/>
    </w:rPr>
  </w:style>
  <w:style w:type="paragraph" w:styleId="Ttulo1">
    <w:name w:val="Heading 1"/>
    <w:basedOn w:val="Normal"/>
    <w:next w:val="Normal"/>
    <w:qFormat/>
    <w:pPr>
      <w:keepNext/>
      <w:spacing/>
      <w:outlineLvl w:val="0"/>
    </w:pPr>
    <w:rPr>
      <w:b/>
      <w:lang w:val="pt-PT"/>
    </w:rPr>
  </w:style>
  <w:style w:type="character" w:styleId="Tipodeletrapredefinidodopargrafo" w:default="1">
    <w:name w:val="Default Paragraph Font"/>
    <w:semiHidden/>
    <w:unhideWhenUsed/>
    <w:rPr/>
  </w:style>
  <w:style w:type="table" w:styleId="Tabelanormal" w:default="1">
    <w:name w:val="Normal Table"/>
    <w:semiHidden/>
    <w:unhideWhenUsed/>
    <w:tblPr>
      <w:tblInd w:w="0" w:type="dxa"/>
      <w:tblCellMar>
        <w:top w:w="0" w:type="dxa"/>
        <w:left w:w="108" w:type="dxa"/>
        <w:bottom w:w="0" w:type="dxa"/>
        <w:right w:w="108" w:type="dxa"/>
      </w:tblCellMar>
    </w:tblPr>
  </w:style>
  <w:style w:type="paragraph" w:styleId="Avanodecorpodetexto">
    <w:name w:val="Body Text Indent"/>
    <w:basedOn w:val="Normal"/>
    <w:pPr>
      <w:spacing w:after="60"/>
      <w:ind w:left="2880" w:hanging="2880"/>
    </w:pPr>
    <w:rPr>
      <w:lang w:val="pt-PT"/>
    </w:rPr>
  </w:style>
  <w:style w:type="paragraph" w:styleId="Ttulo">
    <w:name w:val="Title"/>
    <w:basedOn w:val="Normal"/>
    <w:qFormat/>
    <w:pPr>
      <w:spacing/>
      <w:jc w:val="center"/>
    </w:pPr>
    <w:rPr>
      <w:sz w:val="40"/>
      <w:lang w:val="pt-PT"/>
    </w:rPr>
  </w:style>
  <w:style w:type="paragraph" w:styleId="Corpodetexto">
    <w:name w:val="Body Text"/>
    <w:basedOn w:val="Normal"/>
    <w:pPr>
      <w:pBdr>
        <w:top w:val="single" w:sz="4" w:space="1" w:color="000000"/>
        <w:left w:val="single" w:sz="4" w:space="4" w:color="000000"/>
        <w:bottom w:val="single" w:sz="4" w:space="1" w:color="000000"/>
        <w:right w:val="single" w:sz="4" w:space="4" w:color="000000"/>
      </w:pBdr>
      <w:spacing w:after="60"/>
    </w:pPr>
    <w:rPr>
      <w:lang w:val="pt-PT"/>
    </w:rPr>
  </w:style>
  <w:style w:type="paragraph" w:styleId="Subttulo">
    <w:name w:val="Subtitle"/>
    <w:basedOn w:val="Normal"/>
    <w:link w:val="SubtítuloCaráter"/>
    <w:next w:val="Normal"/>
    <w:qFormat/>
    <w:pPr>
      <w:spacing/>
      <w:jc w:val="center"/>
    </w:pPr>
    <w:rPr>
      <w:b/>
      <w:sz w:val="32"/>
      <w:lang w:val="pt-PT"/>
    </w:rPr>
  </w:style>
  <w:style w:type="paragraph" w:styleId="Cabealho">
    <w:name w:val="Header"/>
    <w:basedOn w:val="Normal"/>
    <w:next w:val="Normal"/>
    <w:pPr>
      <w:tabs>
        <w:tab w:pos="4252" w:val="center"/>
        <w:tab w:pos="8504" w:val="right"/>
      </w:tabs>
      <w:spacing/>
    </w:pPr>
    <w:rPr/>
  </w:style>
  <w:style w:type="paragraph" w:styleId="Rodap">
    <w:name w:val="Footer"/>
    <w:basedOn w:val="Normal"/>
    <w:next w:val="Normal"/>
    <w:pPr>
      <w:tabs>
        <w:tab w:pos="4252" w:val="center"/>
        <w:tab w:pos="8504" w:val="right"/>
      </w:tabs>
      <w:spacing/>
    </w:pPr>
    <w:rPr/>
  </w:style>
  <w:style w:type="character" w:styleId="Hiperligao">
    <w:name w:val="Hyperlink"/>
    <w:rPr>
      <w:color w:val="0000FF"/>
      <w:u w:val="single"/>
    </w:rPr>
  </w:style>
  <w:style w:type="paragraph" w:styleId="Corpodetexto2">
    <w:name w:val="Body Text 2"/>
    <w:basedOn w:val="Normal"/>
    <w:pPr>
      <w:spacing/>
      <w:jc w:val="both"/>
    </w:pPr>
    <w:rPr>
      <w:lang w:val="pt-PT"/>
    </w:rPr>
  </w:style>
  <w:style w:type="paragraph" w:styleId="Textodebalo">
    <w:name w:val="Balloon Text"/>
    <w:basedOn w:val="Normal"/>
    <w:semiHidden/>
    <w:pPr>
      <w:spacing/>
    </w:pPr>
    <w:rPr>
      <w:rFonts w:ascii="Tahoma" w:eastAsia="Tahoma" w:hAnsi="Tahoma" w:cs="Tahoma"/>
      <w:sz w:val="16"/>
      <w:szCs w:val="16"/>
    </w:rPr>
  </w:style>
  <w:style w:type="paragraph" w:styleId="Textodenotaderodap">
    <w:name w:val="Footnote Text"/>
    <w:basedOn w:val="Normal"/>
    <w:link w:val="TextodenotaderodapéCaráter"/>
    <w:semiHidden/>
    <w:pPr>
      <w:spacing/>
    </w:pPr>
    <w:rPr>
      <w:rFonts w:ascii="Calibri" w:eastAsia="Calibri" w:hAnsi="Calibri" w:cs="Calibri"/>
      <w:sz w:val="20"/>
      <w:szCs w:val="20"/>
      <w:lang w:val="pt-PT"/>
    </w:rPr>
  </w:style>
  <w:style w:type="character" w:styleId="TextodenotaderodapCarter" w:customStyle="1">
    <w:name w:val="Texto de nota de rodapé Caráter"/>
    <w:link w:val="FootnoteText"/>
    <w:semiHidden/>
    <w:rPr>
      <w:rFonts w:ascii="Calibri" w:eastAsia="Calibri" w:hAnsi="Calibri" w:cs="Calibri"/>
      <w:lang w:val="pt-PT" w:eastAsia="en-US" w:bidi="ar-SA"/>
    </w:rPr>
  </w:style>
  <w:style w:type="character" w:styleId="Refdenotaderodap">
    <w:name w:val="Footnote Reference"/>
    <w:semiHidden/>
    <w:rPr>
      <w:rFonts w:cs="Times New Roman"/>
      <w:vertAlign w:val="superscript"/>
    </w:rPr>
  </w:style>
  <w:style w:type="character" w:styleId="SubttuloCarter" w:customStyle="1">
    <w:name w:val="Subtítulo Caráter"/>
    <w:link w:val="Subtitle"/>
    <w:rPr>
      <w:b/>
      <w:sz w:val="32"/>
      <w:szCs w:val="24"/>
      <w:lang w:eastAsia="en-US"/>
    </w:rPr>
  </w:style>
  <w:style w:type="paragraph" w:styleId="PargrafodaLista">
    <w:name w:val="List Paragraph"/>
    <w:basedOn w:val="Normal"/>
    <w:next w:val="ListParagraph"/>
    <w:qFormat/>
    <w:pPr>
      <w:spacing/>
      <w:ind w:left="720"/>
      <w:contextualSpacing/>
    </w:pPr>
    <w:rPr/>
  </w:style>
  <w:style w:type="character" w:styleId="Hiperligaovisitada">
    <w:name w:val="FollowedHyperlink"/>
    <w:basedOn w:val="Tipodeletrapredefinidodopargrafo"/>
    <w:rPr>
      <w:color w:val="954F72"/>
      <w:u w:val="single"/>
    </w:rPr>
  </w:style>
  <w:style w:type="character" w:styleId="Forte">
    <w:name w:val="Strong"/>
    <w:basedOn w:val="Tipodeletrapredefinidodopargrafo"/>
    <w:qFormat/>
    <w:rPr>
      <w:b/>
      <w:bCs/>
    </w:rPr>
  </w:style>
</w:styles>
</file>

<file path=word/_rels/document.xml.rels>&#65279;<?xml version="1.0" encoding="utf-8" standalone="yes"?><Relationships xmlns="http://schemas.openxmlformats.org/package/2006/relationships"><Relationship Id="rId18" Type="http://schemas.openxmlformats.org/officeDocument/2006/relationships/styles" Target="styles.xml" /><Relationship Id="rId19" Type="http://schemas.openxmlformats.org/officeDocument/2006/relationships/settings" Target="settings.xml" /><Relationship Id="rId20" Type="http://schemas.openxmlformats.org/officeDocument/2006/relationships/numbering" Target="numbering.xml" /><Relationship Id="rId5" Type="http://schemas.openxmlformats.org/officeDocument/2006/relationships/footer" Target="footer5.xml" /><Relationship Id="rId4" Type="http://schemas.openxmlformats.org/officeDocument/2006/relationships/header" Target="header4.xml" /><Relationship Id="rId21" Type="http://schemas.openxmlformats.org/officeDocument/2006/relationships/fontTable" Target="fontTable.xml" /><Relationship Id="rId22" Type="http://schemas.openxmlformats.org/officeDocument/2006/relationships/theme" Target="theme/theme1.xml" /><Relationship Id="rId1" Type="http://schemas.openxmlformats.org/officeDocument/2006/relationships/hyperlink" Target="https://www.fct.pt/apoios/bolsas/valores" TargetMode="External" /><Relationship Id="rId2" Type="http://schemas.openxmlformats.org/officeDocument/2006/relationships/hyperlink" Target="http://www.campus.utad.pt" TargetMode="External" /><Relationship Id="rId3" Type="http://schemas.openxmlformats.org/officeDocument/2006/relationships/hyperlink" Target="http://www.campus.utad.pt/bolsasinvestigacao/lista" TargetMode="External" /></Relationships>
</file>

<file path=word/_rels/fontTable.xml.rels>&#65279;<?xml version="1.0" encoding="utf-8" standalone="yes"?><Relationships xmlns="http://schemas.openxmlformats.org/package/2006/relationships" />
</file>

<file path=word/_rels/footer5.xml.rels>&#65279;<?xml version="1.0" encoding="utf-8" standalone="yes"?><Relationships xmlns="http://schemas.openxmlformats.org/package/2006/relationships"><Relationship Id="rId7" Type="http://schemas.openxmlformats.org/officeDocument/2006/relationships/image" Target="media/image7.jpeg" /><Relationship Id="rId9" Type="http://schemas.openxmlformats.org/officeDocument/2006/relationships/image" Target="media/image9.jpeg" /><Relationship Id="rId11" Type="http://schemas.openxmlformats.org/officeDocument/2006/relationships/image" Target="media/image11.jpeg" /><Relationship Id="rId13" Type="http://schemas.openxmlformats.org/officeDocument/2006/relationships/image" Target="media/image13.jpeg" /><Relationship Id="rId15" Type="http://schemas.openxmlformats.org/officeDocument/2006/relationships/image" Target="media/image15.jpeg" /></Relationships>
</file>

<file path=word/_rels/header4.xml.rels>&#65279;<?xml version="1.0" encoding="utf-8" standalone="yes"?><Relationships xmlns="http://schemas.openxmlformats.org/package/2006/relationships"><Relationship Id="rId17" Type="http://schemas.openxmlformats.org/officeDocument/2006/relationships/image" Target="media/image17.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xmlns:a="http://schemas.openxmlformats.org/drawingml/2006/main"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Normal.dotm</Template>
  <TotalTime>3</TotalTime>
  <Pages>3</Pages>
  <Words>751</Words>
  <Characters>4286</Characters>
  <CharactersWithSpaces>5027</CharactersWithSpaces>
  <Application>Microsoft Office Word</Application>
  <DocSecurity>0</DocSecurity>
  <Lines>35</Lines>
  <Paragraphs>10</Paragraphs>
  <Manager>Sara Alves Dias</Manager>
  <Company>Universidade de Trás-os-Montes e Alto Douro</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Concurso para Atribuição de Bolsa para Investigação</dc:title>
  <dc:subject/>
  <dc:creator>Campus UTAD</dc:creator>
  <cp:keywords/>
  <cp:lastModifiedBy>João Carlos Tomé Dias</cp:lastModifiedBy>
  <cp:lastPrinted>2011-05-05T09:43:00Z</cp:lastPrinted>
  <cp:revision>4</cp:revision>
  <dcterms:created xsi:type="dcterms:W3CDTF">2023-07-07T12:33:00Z</dcterms:created>
  <dcterms:modified xsi:type="dcterms:W3CDTF">2024-06-12T16:30:00Z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xd_Signature" pid="2">
    <vt:lpstr/>
  </property>
  <property fmtid="{D5CDD505-2E9C-101B-9397-08002B2CF9AE}" name="TemplateUrl" pid="3">
    <vt:lpstr/>
  </property>
  <property fmtid="{D5CDD505-2E9C-101B-9397-08002B2CF9AE}" name="xd_ProgID" pid="4">
    <vt:lpstr/>
  </property>
  <property fmtid="{D5CDD505-2E9C-101B-9397-08002B2CF9AE}" name="Order" pid="5">
    <vt:lpstr>47000.0000000000</vt:lpstr>
  </property>
  <property fmtid="{D5CDD505-2E9C-101B-9397-08002B2CF9AE}" name="_SourceUrl" pid="6">
    <vt:lpstr/>
  </property>
  <property fmtid="{D5CDD505-2E9C-101B-9397-08002B2CF9AE}" name="_SharedFileIndex" pid="7">
    <vt:lpstr/>
  </property>
  <property fmtid="{D5CDD505-2E9C-101B-9397-08002B2CF9AE}" name="_dlc_DocId" pid="8">
    <vt:lpstr>3SKTU6TMYEHH-1598-470</vt:lpstr>
  </property>
  <property fmtid="{D5CDD505-2E9C-101B-9397-08002B2CF9AE}" name="_dlc_DocIdItemGuid" pid="9">
    <vt:lpstr>032b757c-23ba-4bef-8115-d3aea944411e</vt:lpstr>
  </property>
  <property fmtid="{D5CDD505-2E9C-101B-9397-08002B2CF9AE}" name="_dlc_DocIdUrl" pid="10">
    <vt:lpstr>http:_x002F__x002F_utadweb_x002F_vPT_x002F_Area2_x002F_autad_x002F_reitoria_x002F__layouts_x002F_DocIdRedir.aspx_x003F_ID_x003D_3SKTU6TMYEHH-1598-470_x002C_ 3SKTU6TMYEHH-1598-470</vt:lpstr>
  </property>
</Properties>
</file>