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eg" ContentType="image/jpeg"/>
  <Default Extension="wmf" ContentType="image/x-wmf"/>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xml" ContentType="application/vnd.openxmlformats-officedocument.wordprocessingml.footer+xml"/>
  <Override PartName="/word/header4.xml" ContentType="application/vnd.openxmlformats-officedocument.wordprocessingml.header+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openxmlformats.org/drawingml/2006/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10/wordprocessingInk" xmlns:wps="http://schemas.microsoft.com/office/word/2010/wordprocessingShape" mc:Ignorable="w14 wp14">
  <w:body>
    <w:p>
      <w:pPr>
        <w:pStyle w:val="Subttulo"/>
        <w:spacing w:line="360" w:lineRule="auto"/>
        <w:rPr>
          <w:rFonts w:ascii="Arial" w:eastAsia="Arial" w:hAnsi="Arial" w:cs="Arial"/>
          <w:sz w:val="24"/>
          <w:szCs w:val="28"/>
        </w:rPr>
      </w:pPr>
      <w:r>
        <w:rPr>
          <w:rFonts w:ascii="Arial" w:eastAsia="Arial" w:hAnsi="Arial" w:cs="Arial"/>
          <w:sz w:val="24"/>
          <w:szCs w:val="28"/>
        </w:rPr>
        <w:t xml:space="preserve">Bolsas de investigação (estudantes inscritos num mestrado integrado, mestrado, doutoramento ou em curso não conferente de grau académico, Artigo 6º, Regulamento n.º 950/2019 da FCT).</w:t>
      </w:r>
    </w:p>
    <w:p>
      <w:pPr>
        <w:pStyle w:val="Subttulo"/>
        <w:spacing w:line="360" w:lineRule="auto"/>
        <w:rPr>
          <w:rFonts w:ascii="Arial" w:eastAsia="Arial" w:hAnsi="Arial" w:cs="Arial"/>
          <w:b w:val="0"/>
          <w:i/>
          <w:color w:val="0070C0"/>
          <w:sz w:val="20"/>
          <w:szCs w:val="20"/>
        </w:rPr>
      </w:pPr>
      <w:r>
        <w:rPr>
          <w:rFonts w:ascii="Arial" w:eastAsia="Arial" w:hAnsi="Arial" w:cs="Arial"/>
          <w:sz w:val="24"/>
          <w:szCs w:val="28"/>
        </w:rPr>
        <w:t xml:space="preserve">(</w:t>
      </w:r>
      <w:r>
        <w:rPr>
          <w:rFonts w:ascii="Arial" w:eastAsia="Arial" w:hAnsi="Arial" w:cs="Arial"/>
          <w:sz w:val="24"/>
          <w:szCs w:val="28"/>
        </w:rPr>
        <w:t xml:space="preserve">1 vaga</w:t>
      </w:r>
      <w:r>
        <w:rPr>
          <w:rFonts w:ascii="Arial" w:eastAsia="Arial" w:hAnsi="Arial" w:cs="Arial"/>
          <w:sz w:val="24"/>
          <w:szCs w:val="28"/>
        </w:rPr>
        <w:t xml:space="preserve">)</w:t>
      </w:r>
    </w:p>
    <w:p>
      <w:pPr>
        <w:pStyle w:val="Subttulo"/>
        <w:spacing w:line="360" w:lineRule="auto"/>
        <w:rPr>
          <w:rFonts w:ascii="Arial" w:eastAsia="Arial" w:hAnsi="Arial" w:cs="Arial"/>
          <w:sz w:val="24"/>
          <w:szCs w:val="28"/>
        </w:rPr>
      </w:pPr>
    </w:p>
    <w:p>
      <w:pPr>
        <w:pStyle w:val="Subttulo"/>
        <w:spacing w:line="360" w:lineRule="auto"/>
        <w:rPr>
          <w:rFonts w:ascii="Arial" w:eastAsia="Arial" w:hAnsi="Arial" w:cs="Arial"/>
          <w:sz w:val="24"/>
          <w:szCs w:val="28"/>
        </w:rPr>
      </w:pPr>
    </w:p>
    <w:p>
      <w:pPr>
        <w:pStyle w:val="Subttulo"/>
        <w:spacing w:line="360" w:lineRule="auto"/>
        <w:jc w:val="left"/>
        <w:rPr>
          <w:rFonts w:ascii="Arial" w:eastAsia="Arial" w:hAnsi="Arial" w:cs="Arial"/>
          <w:color w:val="0070C0"/>
          <w:sz w:val="20"/>
          <w:szCs w:val="20"/>
        </w:rPr>
      </w:pPr>
      <w:r>
        <w:rPr>
          <w:rFonts w:ascii="Arial" w:eastAsia="Arial" w:hAnsi="Arial" w:cs="Arial"/>
          <w:sz w:val="20"/>
          <w:szCs w:val="20"/>
        </w:rPr>
        <w:t xml:space="preserve">REFERÊNCIA: </w:t>
      </w:r>
      <w:r>
        <w:rPr>
          <w:rFonts w:ascii="Arial" w:eastAsia="Arial" w:hAnsi="Arial" w:cs="Arial"/>
          <w:sz w:val="20"/>
          <w:szCs w:val="20"/>
        </w:rPr>
        <w:t xml:space="preserve">BI/UTAD/66/2026</w:t>
      </w:r>
    </w:p>
    <w:p>
      <w:pPr>
        <w:pStyle w:val="Subttulo"/>
        <w:spacing w:line="360" w:lineRule="auto"/>
        <w:rPr/>
      </w:pPr>
    </w:p>
    <w:p>
      <w:pPr>
        <w:spacing w:line="360" w:lineRule="auto"/>
        <w:jc w:val="both"/>
        <w:rPr>
          <w:rFonts w:ascii="Arial" w:eastAsia="Arial" w:hAnsi="Arial" w:cs="Arial"/>
          <w:i/>
          <w:sz w:val="20"/>
          <w:szCs w:val="20"/>
          <w:lang w:val="pt-PT"/>
        </w:rPr>
      </w:pPr>
      <w:r>
        <w:rPr>
          <w:rFonts w:ascii="Arial" w:eastAsia="Arial" w:hAnsi="Arial" w:cs="Arial"/>
          <w:sz w:val="20"/>
          <w:szCs w:val="20"/>
          <w:lang w:val="pt-PT"/>
        </w:rPr>
        <w:t xml:space="preserve">Encontra-se aberto concurso para a </w:t>
      </w:r>
      <w:r>
        <w:rPr>
          <w:rFonts w:ascii="Arial" w:eastAsia="Arial" w:hAnsi="Arial" w:cs="Arial"/>
          <w:sz w:val="20"/>
          <w:szCs w:val="20"/>
          <w:lang w:val="pt-PT"/>
        </w:rPr>
        <w:t xml:space="preserve">atribuição de 1</w:t>
      </w:r>
      <w:r>
        <w:rPr>
          <w:rFonts w:ascii="Arial" w:eastAsia="Arial" w:hAnsi="Arial" w:cs="Arial"/>
          <w:sz w:val="20"/>
          <w:szCs w:val="20"/>
          <w:lang w:val="pt-PT"/>
        </w:rPr>
        <w:t xml:space="preserve"> </w:t>
      </w:r>
      <w:r>
        <w:rPr>
          <w:rFonts w:ascii="Arial" w:eastAsia="Arial" w:hAnsi="Arial" w:cs="Arial"/>
          <w:sz w:val="20"/>
          <w:szCs w:val="20"/>
          <w:lang w:val="pt-PT"/>
        </w:rPr>
        <w:t xml:space="preserve">Bolsas de investigação (estudantes inscritos num mestrado integrado, mestrado, doutoramento ou em curso não conferente de grau académico, Artigo 6º, Regulamento n.º 950/2019 da FCT).</w:t>
      </w:r>
      <w:r>
        <w:rPr>
          <w:rFonts w:ascii="Arial" w:eastAsia="Arial" w:hAnsi="Arial" w:cs="Arial"/>
          <w:sz w:val="20"/>
          <w:szCs w:val="20"/>
          <w:lang w:val="pt-PT"/>
        </w:rPr>
        <w:t xml:space="preserve"> no âmbito do projeto/instituição de I&amp;D</w:t>
      </w:r>
      <w:r>
        <w:rPr>
          <w:rFonts w:ascii="Arial" w:eastAsia="Arial" w:hAnsi="Arial" w:cs="Arial"/>
          <w:sz w:val="20"/>
          <w:szCs w:val="20"/>
          <w:lang w:val="pt-PT"/>
        </w:rPr>
        <w:t xml:space="preserve"> Casas Em Movimento 4.0</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BI/UTAD/66/2026</w:t>
      </w:r>
      <w:r>
        <w:rPr>
          <w:rFonts w:ascii="Arial" w:eastAsia="Arial" w:hAnsi="Arial" w:cs="Arial"/>
          <w:sz w:val="20"/>
          <w:szCs w:val="20"/>
          <w:lang w:val="pt-PT"/>
        </w:rPr>
        <w:t xml:space="preserve">,</w:t>
      </w:r>
      <w:r>
        <w:rPr>
          <w:rFonts w:ascii="Arial" w:eastAsia="Arial" w:hAnsi="Arial" w:cs="Arial"/>
          <w:sz w:val="20"/>
          <w:szCs w:val="20"/>
          <w:lang w:val="pt-PT"/>
        </w:rPr>
        <w:t xml:space="preserve"> financiado por </w:t>
      </w:r>
      <w:r>
        <w:rPr>
          <w:rFonts w:ascii="Arial" w:eastAsia="Arial" w:hAnsi="Arial" w:cs="Arial"/>
          <w:sz w:val="20"/>
          <w:szCs w:val="20"/>
          <w:lang w:val="pt-PT"/>
        </w:rPr>
        <w:t xml:space="preserve">Projeto CEM 4.0 - Casas Em Movimento 4.0, operação n.º COMPETE2030-FEDER-03260800, projeto n.º 26165, financiado pelo Fundo Europeu de Desenvolvimento Regional (FEDER), através de Incentivos à Investigação e Desenvolvimento, no âmbito do Programa Inovação e Transição Digital (COMPETE 2030), no âmbito do aviso MPr-2025-4 - SIID - I&amp;D Empresarial - Operações Individuais ou em Copromoção</w:t>
      </w:r>
      <w:r>
        <w:rPr>
          <w:rFonts w:ascii="Arial" w:eastAsia="Arial" w:hAnsi="Arial" w:cs="Arial"/>
          <w:sz w:val="20"/>
          <w:szCs w:val="20"/>
          <w:lang w:val="pt-PT"/>
        </w:rPr>
        <w:t xml:space="preserve">, nas </w:t>
      </w:r>
      <w:r>
        <w:rPr>
          <w:rFonts w:ascii="Arial" w:eastAsia="Arial" w:hAnsi="Arial" w:cs="Arial"/>
          <w:sz w:val="20"/>
          <w:szCs w:val="20"/>
          <w:lang w:val="pt-PT"/>
        </w:rPr>
        <w:t xml:space="preserve">seguintes condições:</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Área Científica</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Engenharia</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sz w:val="20"/>
          <w:szCs w:val="20"/>
          <w:lang w:val="pt-PT"/>
        </w:rPr>
      </w:pPr>
      <w:r>
        <w:rPr>
          <w:rFonts w:ascii="Arial" w:eastAsia="Arial" w:hAnsi="Arial" w:cs="Arial"/>
          <w:b/>
          <w:sz w:val="20"/>
          <w:szCs w:val="20"/>
          <w:lang w:val="pt-PT"/>
        </w:rPr>
        <w:t xml:space="preserve">Requisitos de admissã</w:t>
      </w:r>
      <w:r>
        <w:rPr>
          <w:rFonts w:ascii="Arial" w:eastAsia="Arial" w:hAnsi="Arial" w:cs="Arial"/>
          <w:b/>
          <w:sz w:val="20"/>
          <w:szCs w:val="20"/>
          <w:lang w:val="pt-PT"/>
        </w:rPr>
        <w:t xml:space="preserve">o:</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1.º - Licenciatura em Engenharia Civil ou áreas afins*;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2.º - Experiência ou conhecimentos nas áreas de eficiência energética e hídrica em edifícios;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3.º - Experiência ou conhecimentos em simulação energética de edifícios;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4.º - Conhecimentos na avaliação de soluções de eficiência hídrica, incluindo sistemas de aproveitamento e reutilização de água;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5.º - Experiência ou conhecimentos em trabalho experimental, monitorização, recolha e tratamento de dados;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6.º - Bons conhecimentos de inglês escrito e falado;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7.º - Cumprimento do Regulamento de Bolsas de Investigação, nomeadamente no que se refere à inscrição obrigatória em curso de formação conferente a grau (3º ciclo)  (RBI nº 950/2019) ou em curso não conferente de grau académico (RBI nº 950/2019)*;</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16"/>
          <w:szCs w:val="20"/>
          <w:lang w:val="pt-PT"/>
        </w:rPr>
      </w:pPr>
      <w:r>
        <w:rPr>
          <w:rFonts w:ascii="Arial" w:eastAsia="Arial" w:hAnsi="Arial" w:cs="Arial"/>
          <w:sz w:val="16"/>
          <w:szCs w:val="20"/>
          <w:lang w:val="pt-PT"/>
        </w:rPr>
        <w:t xml:space="preserve">* fator eliminatório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Plano de trabalhos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w:t>
        <w:tab/>
        <w:t xml:space="preserve">Levantamento do estado da arte e enquadramento técnico-científico das soluções de eficiência energética e hídrica em edifícios, com particular enfoque nas soluções previstas no projeto CEM 4.0;</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w:t>
        <w:tab/>
        <w:t xml:space="preserve">Estudo e definição de soluções passivas e bioclimáticas aplicáveis às diferentes configurações da Casa em Movimento, visando a melhoria do desempenho térmico, energético e das condições de conforto interior;</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w:t>
        <w:tab/>
        <w:t xml:space="preserve">Desenvolvimento de simulações energéticas para avaliação comparativa do desempenho das soluções e configurações em estudo, considerando diferentes condições climáticas e de utilização;;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w:t>
        <w:tab/>
        <w:t xml:space="preserve">Estudo de soluções de eficiência hídrica, incluindo sistemas de captação e aproveitamento de águas pluviais e soluções de reutilização de água, com definição de critérios de dimensionamento, aplicação e desempenho;;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w:t>
        <w:tab/>
        <w:t xml:space="preserve">Apoio à definição de metodologias, procedimentos e protocolos de ensaio e monitorização para posterior avaliação das soluções energéticas e hídricas desenvolvidas no âmbito do projeto;;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w:t>
        <w:tab/>
        <w:t xml:space="preserve">Realização de trabalho experimental e/ou ensaios à escala laboratorial ou em condições controladas, quando aplicável, incluindo recolha, tratamento e análise de dados;;</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w:t>
        <w:tab/>
        <w:t xml:space="preserve">Análise comparativa dos resultados obtidos e identificação de oportunidades de otimização das soluções de eficiência energética e hídrica;;</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w:t>
        <w:tab/>
        <w:t xml:space="preserve">Elaboração de relatórios técnicos, documentação de suporte e contributos para a disseminação técnico-científica dos resultados do projeto.;</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Legislação e regulamentação aplicável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Lei Nº. 40/2004, de 18 de Agosto (Estatuto do Bolseiro de Investigação Científica); Regulamento de Bolsas de Investigação da FCT, I. P., aprovado pelo Regulamento nº 234/2012, publicado na II Série do Diário da República de 25 de junho de 2012, alterado e republicado pelo Regulamento nº 326/2013, publicado na II Série do Diário da República de 27 de julho de 2013</w:t>
      </w:r>
      <w:r>
        <w:rPr>
          <w:rFonts w:ascii="Arial" w:eastAsia="Arial" w:hAnsi="Arial" w:cs="Arial"/>
          <w:sz w:val="20"/>
          <w:szCs w:val="20"/>
          <w:lang w:val="pt-PT"/>
        </w:rPr>
        <w:t xml:space="preserve">,</w:t>
      </w:r>
      <w:r>
        <w:rPr>
          <w:rFonts w:ascii="Arial" w:eastAsia="Arial" w:hAnsi="Arial" w:cs="Arial"/>
          <w:sz w:val="20"/>
          <w:szCs w:val="20"/>
          <w:lang w:val="pt-PT"/>
        </w:rPr>
        <w:t xml:space="preserve"> alterado pelo Regulamento nº 339/2015, publicado na II Série do Diário da República de 17 de junho de 2015</w:t>
      </w:r>
      <w:r>
        <w:rPr>
          <w:rFonts w:ascii="Arial" w:eastAsia="Arial" w:hAnsi="Arial" w:cs="Arial"/>
          <w:sz w:val="20"/>
          <w:szCs w:val="20"/>
          <w:lang w:val="pt-PT"/>
        </w:rPr>
        <w:t xml:space="preserve"> </w:t>
      </w:r>
      <w:r>
        <w:rPr>
          <w:rFonts w:ascii="Arial" w:eastAsia="Arial" w:hAnsi="Arial" w:cs="Arial"/>
          <w:sz w:val="20"/>
          <w:szCs w:val="20"/>
          <w:lang w:val="pt-PT"/>
        </w:rPr>
        <w:t xml:space="preserve">e Lei n.º71/2018 (Lei do Orçamento do Estado para 2019)</w:t>
      </w:r>
      <w:r>
        <w:rPr>
          <w:rFonts w:ascii="Arial" w:eastAsia="Arial" w:hAnsi="Arial" w:cs="Arial"/>
          <w:sz w:val="20"/>
          <w:szCs w:val="20"/>
          <w:lang w:val="pt-PT"/>
        </w:rPr>
        <w:t xml:space="preserve"> e o Regulamento de Bolsas de Investigação da Universidade de Trás-os-Montes e Alto Douro – Despacho RT.36/2011, de 6 de Julho, do Sr. Reitor, publicado em Diário da República pelo Despacho Nº 9157/2011 (II Série), de 19 de Julho.</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Local de trabalho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trabalho será desenvolvido no(a)</w:t>
      </w:r>
      <w:r>
        <w:rPr>
          <w:rFonts w:ascii="Arial" w:eastAsia="Arial" w:hAnsi="Arial" w:cs="Arial"/>
          <w:sz w:val="20"/>
          <w:szCs w:val="20"/>
          <w:lang w:val="pt-PT"/>
        </w:rPr>
        <w:t xml:space="preserve"> ECT - Departamento de Engenharias</w:t>
      </w:r>
      <w:r>
        <w:rPr>
          <w:rFonts w:ascii="Arial" w:eastAsia="Arial" w:hAnsi="Arial" w:cs="Arial"/>
          <w:sz w:val="20"/>
          <w:szCs w:val="20"/>
          <w:lang w:val="pt-PT"/>
        </w:rPr>
        <w:t xml:space="preserve"> </w:t>
      </w:r>
      <w:r>
        <w:rPr>
          <w:rFonts w:ascii="Arial" w:eastAsia="Arial" w:hAnsi="Arial" w:cs="Arial"/>
          <w:sz w:val="20"/>
          <w:szCs w:val="20"/>
          <w:lang w:val="pt-PT"/>
        </w:rPr>
        <w:t xml:space="preserve">da</w:t>
      </w:r>
      <w:r>
        <w:rPr>
          <w:rFonts w:ascii="Arial" w:eastAsia="Arial" w:hAnsi="Arial" w:cs="Arial"/>
          <w:sz w:val="20"/>
          <w:szCs w:val="20"/>
          <w:lang w:val="pt-PT"/>
        </w:rPr>
        <w:t xml:space="preserve"> </w:t>
      </w:r>
      <w:r>
        <w:rPr>
          <w:rFonts w:ascii="Arial" w:eastAsia="Arial" w:hAnsi="Arial" w:cs="Arial"/>
          <w:sz w:val="20"/>
          <w:szCs w:val="20"/>
          <w:lang w:val="pt-PT"/>
        </w:rPr>
        <w:t xml:space="preserve">Universidade de</w:t>
      </w:r>
      <w:r>
        <w:rPr>
          <w:rFonts w:ascii="Arial" w:eastAsia="Arial" w:hAnsi="Arial" w:cs="Arial"/>
          <w:sz w:val="20"/>
          <w:szCs w:val="20"/>
          <w:lang w:val="pt-PT"/>
        </w:rPr>
        <w:t xml:space="preserve"> Trás-os-Montes e Alto Douro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Duração da</w:t>
      </w:r>
      <w:r>
        <w:rPr>
          <w:rFonts w:ascii="Arial" w:eastAsia="Arial" w:hAnsi="Arial" w:cs="Arial"/>
          <w:b/>
          <w:sz w:val="20"/>
          <w:szCs w:val="20"/>
          <w:lang w:val="pt-PT"/>
        </w:rPr>
        <w:t xml:space="preserve"> </w:t>
      </w:r>
      <w:r>
        <w:rPr>
          <w:rFonts w:ascii="Arial" w:eastAsia="Arial" w:hAnsi="Arial" w:cs="Arial"/>
          <w:b/>
          <w:sz w:val="20"/>
          <w:szCs w:val="20"/>
          <w:lang w:val="pt-PT"/>
        </w:rPr>
        <w:t xml:space="preserve">(s) bolsa</w:t>
      </w:r>
      <w:r>
        <w:rPr>
          <w:rFonts w:ascii="Arial" w:eastAsia="Arial" w:hAnsi="Arial" w:cs="Arial"/>
          <w:b/>
          <w:sz w:val="20"/>
          <w:szCs w:val="20"/>
          <w:lang w:val="pt-PT"/>
        </w:rPr>
        <w:t xml:space="preserve"> </w:t>
      </w:r>
      <w:r>
        <w:rPr>
          <w:rFonts w:ascii="Arial" w:eastAsia="Arial" w:hAnsi="Arial" w:cs="Arial"/>
          <w:b/>
          <w:sz w:val="20"/>
          <w:szCs w:val="20"/>
          <w:lang w:val="pt-PT"/>
        </w:rPr>
        <w:t xml:space="preserve">(s)</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bolsa terá a</w:t>
      </w:r>
      <w:r>
        <w:rPr>
          <w:rFonts w:ascii="Arial" w:eastAsia="Arial" w:hAnsi="Arial" w:cs="Arial"/>
          <w:sz w:val="20"/>
          <w:szCs w:val="20"/>
          <w:lang w:val="pt-PT"/>
        </w:rPr>
        <w:t xml:space="preserve"> duração de </w:t>
      </w:r>
      <w:r>
        <w:rPr>
          <w:rFonts w:ascii="Arial" w:eastAsia="Arial" w:hAnsi="Arial" w:cs="Arial"/>
          <w:sz w:val="20"/>
          <w:szCs w:val="20"/>
          <w:lang w:val="pt-PT"/>
        </w:rPr>
        <w:t xml:space="preserve">12</w:t>
      </w:r>
      <w:r>
        <w:rPr>
          <w:rFonts w:ascii="Arial" w:eastAsia="Arial" w:hAnsi="Arial" w:cs="Arial"/>
          <w:sz w:val="20"/>
          <w:szCs w:val="20"/>
          <w:lang w:val="pt-PT"/>
        </w:rPr>
        <w:t xml:space="preserve"> </w:t>
      </w:r>
      <w:r>
        <w:rPr>
          <w:rFonts w:ascii="Arial" w:eastAsia="Arial" w:hAnsi="Arial" w:cs="Arial"/>
          <w:sz w:val="20"/>
          <w:szCs w:val="20"/>
          <w:lang w:val="pt-PT"/>
        </w:rPr>
        <w:t xml:space="preserve">meses, com início previsto em Dezembro</w:t>
      </w:r>
      <w:r>
        <w:rPr>
          <w:rFonts w:ascii="Arial" w:eastAsia="Arial" w:hAnsi="Arial" w:cs="Arial"/>
          <w:sz w:val="20"/>
          <w:szCs w:val="20"/>
          <w:lang w:val="pt-PT"/>
        </w:rPr>
        <w:t xml:space="preserve"> de </w:t>
      </w:r>
      <w:r>
        <w:rPr>
          <w:rFonts w:ascii="Arial" w:eastAsia="Arial" w:hAnsi="Arial" w:cs="Arial"/>
          <w:sz w:val="20"/>
          <w:szCs w:val="20"/>
          <w:lang w:val="pt-PT"/>
        </w:rPr>
        <w:t xml:space="preserve">2026</w:t>
      </w:r>
      <w:r>
        <w:rPr>
          <w:rFonts w:ascii="Arial" w:eastAsia="Arial" w:hAnsi="Arial" w:cs="Arial"/>
          <w:sz w:val="20"/>
          <w:szCs w:val="20"/>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 </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b/>
          <w:bCs/>
          <w:sz w:val="20"/>
          <w:szCs w:val="20"/>
          <w:lang w:val="pt-PT"/>
        </w:rPr>
      </w:pPr>
      <w:r>
        <w:rPr>
          <w:rFonts w:ascii="Arial" w:eastAsia="Arial" w:hAnsi="Arial" w:cs="Arial"/>
          <w:b/>
          <w:bCs/>
          <w:sz w:val="20"/>
          <w:szCs w:val="20"/>
          <w:lang w:val="pt-PT"/>
        </w:rPr>
        <w:t xml:space="preserve">Nota:</w:t>
      </w:r>
    </w:p>
    <w:p>
      <w:pPr>
        <w:spacing w:line="360" w:lineRule="auto"/>
        <w:jc w:val="both"/>
        <w:rPr>
          <w:rFonts w:ascii="Arial" w:eastAsia="Arial" w:hAnsi="Arial" w:cs="Arial"/>
          <w:b/>
          <w:bCs/>
          <w:color w:val="0070C0"/>
          <w:sz w:val="20"/>
          <w:szCs w:val="20"/>
          <w:lang w:val="pt-PT"/>
        </w:rPr>
      </w:pPr>
      <w:r>
        <w:rPr>
          <w:rStyle w:val="Forte"/>
          <w:rFonts w:ascii="Arial" w:eastAsia="Arial" w:hAnsi="Arial" w:cs="Arial"/>
          <w:b w:val="0"/>
          <w:bCs w:val="0"/>
          <w:sz w:val="20"/>
          <w:szCs w:val="20"/>
          <w:lang w:val="pt-PT"/>
        </w:rPr>
        <w:t xml:space="preserve">Se a bolsa for atribuída a estudantes inscritos em curso não conferente de grau académico, o contrato não poderá ultrapassar a duração total de 12 meses.</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Valor do subsídio de manutenção mensal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 mont</w:t>
      </w:r>
      <w:r>
        <w:rPr>
          <w:rFonts w:ascii="Arial" w:eastAsia="Arial" w:hAnsi="Arial" w:cs="Arial"/>
          <w:sz w:val="20"/>
          <w:szCs w:val="20"/>
          <w:lang w:val="pt-PT"/>
        </w:rPr>
        <w:t xml:space="preserve">ante da bolsa corresponde a €1090,98</w:t>
      </w:r>
      <w:r>
        <w:rPr>
          <w:rFonts w:ascii="Arial" w:eastAsia="Arial" w:hAnsi="Arial" w:cs="Arial"/>
          <w:sz w:val="20"/>
          <w:szCs w:val="20"/>
          <w:lang w:val="pt-PT"/>
        </w:rPr>
        <w:t xml:space="preserve">, conforme tabela de valores das bolsas atribuídas dire</w:t>
      </w:r>
      <w:r>
        <w:rPr>
          <w:rFonts w:ascii="Arial" w:eastAsia="Arial" w:hAnsi="Arial" w:cs="Arial"/>
          <w:sz w:val="20"/>
          <w:szCs w:val="20"/>
          <w:lang w:val="pt-PT"/>
        </w:rPr>
        <w:t xml:space="preserve">tamente pela FCT, I.P. no País </w:t>
      </w:r>
      <w:r>
        <w:rPr>
          <w:rFonts w:ascii="Arial" w:eastAsia="Arial" w:hAnsi="Arial" w:cs="Arial"/>
          <w:sz w:val="18"/>
          <w:szCs w:val="18"/>
          <w:lang w:val="pt-PT"/>
        </w:rPr>
        <w:t xml:space="preserve">(</w:t>
      </w:r>
      <w:bookmarkStart w:id="2" w:name="OLE_LINK1"/>
      <w:bookmarkStart w:id="3" w:name="OLE_LINK2"/>
      <w:hyperlink r:id="rId1" w:history="1">
        <w:r>
          <w:rPr>
            <w:rStyle w:val="Hiperligao"/>
            <w:rFonts w:ascii="Arial" w:eastAsia="Arial" w:hAnsi="Arial" w:cs="Arial"/>
            <w:sz w:val="18"/>
            <w:szCs w:val="18"/>
            <w:lang w:val="pt-PT"/>
          </w:rPr>
          <w:t xml:space="preserve">https://www.fct.pt/apoios/bolsas/valores</w:t>
        </w:r>
      </w:hyperlink>
      <w:bookmarkEnd w:id="2"/>
      <w:bookmarkEnd w:id="3"/>
      <w:r>
        <w:rPr>
          <w:rFonts w:ascii="Arial" w:eastAsia="Arial" w:hAnsi="Arial" w:cs="Arial"/>
          <w:sz w:val="18"/>
          <w:szCs w:val="18"/>
          <w:lang w:val="pt-PT"/>
        </w:rPr>
        <w:t xml:space="preserve">)</w:t>
      </w:r>
      <w:r>
        <w:rPr>
          <w:rFonts w:ascii="Arial" w:eastAsia="Arial" w:hAnsi="Arial" w:cs="Arial"/>
          <w:sz w:val="18"/>
          <w:szCs w:val="18"/>
          <w:lang w:val="pt-PT"/>
        </w:rPr>
        <w:t xml:space="preserve">.</w:t>
      </w:r>
      <w:r>
        <w:rPr>
          <w:rFonts w:ascii="Arial" w:eastAsia="Arial" w:hAnsi="Arial" w:cs="Arial"/>
          <w:sz w:val="20"/>
          <w:szCs w:val="20"/>
          <w:lang w:val="pt-PT"/>
        </w:rPr>
        <w:t xml:space="preserve"> </w:t>
      </w:r>
      <w:r>
        <w:rPr>
          <w:rFonts w:ascii="Arial" w:eastAsia="Arial" w:hAnsi="Arial" w:cs="Arial"/>
          <w:sz w:val="20"/>
          <w:szCs w:val="20"/>
          <w:lang w:val="pt-PT"/>
        </w:rPr>
        <w:t xml:space="preserve">A periodicidade de pagamento da bolsa é mensal e através de depósito bancário, cheque ou outra modalidade equivalente</w:t>
      </w:r>
      <w:r>
        <w:rPr>
          <w:rFonts w:ascii="Arial" w:eastAsia="Arial" w:hAnsi="Arial" w:cs="Arial"/>
          <w:sz w:val="20"/>
          <w:szCs w:val="20"/>
          <w:lang w:val="pt-PT"/>
        </w:rPr>
        <w:t xml:space="preserve">.</w:t>
      </w:r>
    </w:p>
    <w:p>
      <w:pPr>
        <w:spacing w:line="360" w:lineRule="auto"/>
        <w:jc w:val="both"/>
        <w:rPr>
          <w:rFonts w:ascii="Arial" w:eastAsia="Arial" w:hAnsi="Arial" w:cs="Arial"/>
          <w:b/>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Métodos de seleção</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métodos de seleção a utilizar serão</w:t>
      </w:r>
      <w:r>
        <w:rPr>
          <w:rFonts w:ascii="Arial" w:eastAsia="Arial" w:hAnsi="Arial" w:cs="Arial"/>
          <w:sz w:val="20"/>
          <w:szCs w:val="20"/>
          <w:lang w:val="pt-PT"/>
        </w:rPr>
        <w:t xml:space="preserve"> os seguintes: </w:t>
      </w:r>
      <w:r>
        <w:rPr>
          <w:rFonts w:ascii="Arial" w:eastAsia="Arial" w:hAnsi="Arial" w:cs="Arial"/>
          <w:sz w:val="18"/>
          <w:szCs w:val="18"/>
          <w:lang w:val="pt-PT"/>
        </w:rPr>
        <w:t xml:space="preserve">Classificação obtida no Curso de Licenciatura em Engenharia Civil ou áreas afins, Formação e/ou Experiência nas áreas afetas ao projeto e Entrevista</w:t>
      </w:r>
      <w:r>
        <w:rPr>
          <w:rFonts w:ascii="Arial" w:eastAsia="Arial" w:hAnsi="Arial" w:cs="Arial"/>
          <w:sz w:val="20"/>
          <w:szCs w:val="20"/>
          <w:lang w:val="pt-PT"/>
        </w:rPr>
        <w:t xml:space="preserve">, com a </w:t>
      </w:r>
      <w:r>
        <w:rPr>
          <w:rFonts w:ascii="Arial" w:eastAsia="Arial" w:hAnsi="Arial" w:cs="Arial"/>
          <w:sz w:val="20"/>
          <w:szCs w:val="20"/>
          <w:lang w:val="pt-PT"/>
        </w:rPr>
        <w:t xml:space="preserve">respetiva valoração de </w:t>
      </w:r>
      <w:r>
        <w:rPr>
          <w:rFonts w:ascii="Arial" w:eastAsia="Arial" w:hAnsi="Arial" w:cs="Arial"/>
          <w:sz w:val="20"/>
          <w:szCs w:val="20"/>
          <w:lang w:val="pt-PT"/>
        </w:rPr>
        <w:t xml:space="preserve">30%, 30% e 40%</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Composição do Júri de Seleção</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Presidente - ANA CRISTINA BRIGA DE SÁ</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ANA CRISTINA RIBEIRO AFONSO DE MATOS COUTINHO</w:t>
      </w:r>
    </w:p>
    <w:p>
      <w:pPr>
        <w:pageBreakBefore w:val="0"/>
        <w:spacing w:line="360" w:lineRule="auto"/>
        <w:jc w:val="both"/>
        <w:rPr>
          <w:rFonts w:ascii="Arial" w:eastAsia="Arial" w:hAnsi="Arial" w:cs="Arial"/>
          <w:color w:val="0070C0"/>
          <w:sz w:val="18"/>
          <w:szCs w:val="18"/>
          <w:lang w:val="pt-PT"/>
        </w:rPr>
      </w:pPr>
      <w:r>
        <w:rPr>
          <w:rFonts w:ascii="Arial" w:eastAsia="Arial" w:hAnsi="Arial" w:cs="Arial"/>
          <w:sz w:val="20"/>
          <w:szCs w:val="20"/>
          <w:lang w:val="pt-PT"/>
        </w:rPr>
        <w:t xml:space="preserve">Vogal - ANTÓNIO LUÍS GOMES VALENTE</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Forma de publicitação/notificação dos resultados</w:t>
      </w:r>
      <w:r>
        <w:rPr>
          <w:rFonts w:ascii="Arial" w:eastAsia="Arial" w:hAnsi="Arial" w:cs="Arial"/>
          <w:sz w:val="20"/>
          <w:szCs w:val="20"/>
          <w:lang w:val="pt-PT"/>
        </w:rPr>
        <w:t xml:space="preserve">:</w:t>
      </w:r>
      <w:bookmarkStart w:id="4" w:name="_GoBack"/>
      <w:bookmarkEnd w:id="4"/>
    </w:p>
    <w:p>
      <w:p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Os resultados finais da avaliação serão publicitados, através de lista ordenada </w:t>
      </w:r>
      <w:r>
        <w:rPr>
          <w:rFonts w:ascii="Arial" w:eastAsia="Arial" w:hAnsi="Arial" w:cs="Arial"/>
          <w:sz w:val="20"/>
          <w:szCs w:val="20"/>
          <w:lang w:val="pt-PT"/>
        </w:rPr>
        <w:t xml:space="preserve">Alfabeticamente</w:t>
      </w:r>
      <w:r>
        <w:rPr>
          <w:rFonts w:ascii="Arial" w:eastAsia="Arial" w:hAnsi="Arial" w:cs="Arial"/>
          <w:sz w:val="20"/>
          <w:szCs w:val="20"/>
          <w:lang w:val="pt-PT"/>
        </w:rPr>
        <w:t xml:space="preserve"> afixada </w:t>
      </w:r>
      <w:r>
        <w:rPr>
          <w:rFonts w:ascii="Arial" w:eastAsia="Arial" w:hAnsi="Arial" w:cs="Arial"/>
          <w:sz w:val="20"/>
          <w:szCs w:val="20"/>
          <w:lang w:val="pt-PT"/>
        </w:rPr>
        <w:t xml:space="preserve">n</w:t>
      </w:r>
      <w:r>
        <w:rPr>
          <w:rFonts w:ascii="Arial" w:eastAsia="Arial" w:hAnsi="Arial" w:cs="Arial"/>
          <w:sz w:val="20"/>
          <w:szCs w:val="20"/>
          <w:lang w:val="pt-PT"/>
        </w:rPr>
        <w:t xml:space="preserve">o(a) </w:t>
      </w:r>
      <w:r>
        <w:rPr>
          <w:rFonts w:ascii="Arial" w:eastAsia="Arial" w:hAnsi="Arial" w:cs="Arial"/>
          <w:sz w:val="20"/>
          <w:szCs w:val="20"/>
          <w:lang w:val="pt-PT"/>
        </w:rPr>
        <w:t xml:space="preserve">Página Campus Online da UTAD</w:t>
      </w:r>
      <w:r>
        <w:rPr>
          <w:rFonts w:ascii="Arial" w:eastAsia="Arial" w:hAnsi="Arial" w:cs="Arial"/>
          <w:sz w:val="20"/>
          <w:szCs w:val="20"/>
          <w:lang w:val="pt-PT"/>
        </w:rPr>
        <w:t xml:space="preserve"> (http://www.campus.utad.pt/bolsasinvestigacao/candidaturas</w:t>
      </w:r>
      <w:r>
        <w:rPr>
          <w:rFonts w:ascii="Arial" w:eastAsia="Arial" w:hAnsi="Arial" w:cs="Arial"/>
          <w:sz w:val="20"/>
          <w:szCs w:val="20"/>
          <w:lang w:val="pt-PT"/>
        </w:rPr>
        <w:t xml:space="preserve">)</w:t>
      </w:r>
      <w:r>
        <w:rPr>
          <w:rFonts w:ascii="Arial" w:eastAsia="Arial" w:hAnsi="Arial" w:cs="Arial"/>
          <w:sz w:val="20"/>
          <w:szCs w:val="20"/>
          <w:lang w:val="pt-PT"/>
        </w:rPr>
        <w:t xml:space="preserve">, sendo o candidato(a) aprovado(a</w:t>
      </w:r>
      <w:r>
        <w:rPr>
          <w:rFonts w:ascii="Arial" w:eastAsia="Arial" w:hAnsi="Arial" w:cs="Arial"/>
          <w:sz w:val="20"/>
          <w:szCs w:val="20"/>
          <w:lang w:val="pt-PT"/>
        </w:rPr>
        <w:t xml:space="preserve">) notificado </w:t>
      </w:r>
      <w:r>
        <w:rPr>
          <w:rFonts w:ascii="Arial" w:eastAsia="Arial" w:hAnsi="Arial" w:cs="Arial"/>
          <w:sz w:val="20"/>
          <w:szCs w:val="20"/>
          <w:lang w:val="pt-PT"/>
        </w:rPr>
        <w:t xml:space="preserve">através</w:t>
      </w:r>
      <w:r>
        <w:rPr>
          <w:rFonts w:ascii="Arial" w:eastAsia="Arial" w:hAnsi="Arial" w:cs="Arial"/>
          <w:sz w:val="20"/>
          <w:szCs w:val="20"/>
          <w:lang w:val="pt-PT"/>
        </w:rPr>
        <w:t xml:space="preserve"> de e-mail</w:t>
      </w:r>
      <w:r>
        <w:rPr>
          <w:rFonts w:ascii="Arial" w:eastAsia="Arial" w:hAnsi="Arial" w:cs="Arial"/>
          <w:sz w:val="20"/>
          <w:szCs w:val="20"/>
          <w:lang w:val="pt-PT"/>
        </w:rPr>
        <w:t xml:space="preserve">.</w:t>
      </w:r>
    </w:p>
    <w:p>
      <w:pPr>
        <w:spacing w:line="360" w:lineRule="auto"/>
        <w:jc w:val="both"/>
        <w:rPr>
          <w:rFonts w:ascii="Arial" w:eastAsia="Arial" w:hAnsi="Arial" w:cs="Arial"/>
          <w:sz w:val="20"/>
          <w:szCs w:val="20"/>
          <w:lang w:val="pt-PT" w:eastAsia="en-GB"/>
        </w:rPr>
      </w:pPr>
      <w:r>
        <w:rPr>
          <w:rFonts w:ascii="Arial" w:eastAsia="Arial" w:hAnsi="Arial" w:cs="Arial"/>
          <w:sz w:val="20"/>
          <w:szCs w:val="20"/>
          <w:lang w:val="pt-PT"/>
        </w:rPr>
        <w:t xml:space="preserve">Com base na lista de seriação final será constituída uma lista de reserva, </w:t>
      </w:r>
      <w:r>
        <w:rPr>
          <w:rFonts w:ascii="Arial" w:eastAsia="Arial" w:hAnsi="Arial" w:cs="Arial"/>
          <w:sz w:val="20"/>
          <w:szCs w:val="20"/>
          <w:lang w:val="pt-PT"/>
        </w:rPr>
        <w:t xml:space="preserve">de validade igual à duração máxima do projeto que financia a presente bolsa ou à duração máxima da bolsa prevista no artigo 3.º, n.º 2, do Estatuto do Bolseiro de Investigação, Lei n.º 40/2004, de 18/08, revista pelo Decreto-Lei n.º 123/2019, de 28/08 (aquela que ocorrer primeiro),</w:t>
      </w:r>
      <w:r>
        <w:rPr>
          <w:rFonts w:ascii="Arial" w:eastAsia="Arial" w:hAnsi="Arial" w:cs="Arial"/>
          <w:sz w:val="20"/>
          <w:szCs w:val="20"/>
          <w:lang w:val="pt-PT"/>
        </w:rPr>
        <w:t xml:space="preserve"> a qual será utilizada para a eventual contratação de novos bolseiros no âmbito do presente projeto ou no caso de desistência do/a candidato/a classificado/a em primeiro lugar. Na eventualidade de nenhum /a dos/as candidatos/as demonstrar possuir o perfil indicado para a realização do plano de trabalhos, o júri reserva-se o direito de não atribuir a bolsa a concurso. Caso a decisão a tomar seja desfavorável à concessão da bolsa requerida, os candidatos têm um prazo de 10 dias úteis, após a divulgação referida, para se pronunciarem, querendo, em sede de audiência prévia, nos termos previstos no Código do Procedimento Administrativo.</w:t>
      </w:r>
    </w:p>
    <w:p>
      <w:pPr>
        <w:spacing w:line="360" w:lineRule="auto"/>
        <w:jc w:val="both"/>
        <w:rPr>
          <w:rFonts w:ascii="Arial" w:eastAsia="Arial" w:hAnsi="Arial" w:cs="Arial"/>
          <w:sz w:val="20"/>
          <w:szCs w:val="20"/>
          <w:lang w:val="pt-PT"/>
        </w:rPr>
      </w:pPr>
    </w:p>
    <w:p>
      <w:pPr>
        <w:spacing w:line="360" w:lineRule="auto"/>
        <w:jc w:val="both"/>
        <w:rPr>
          <w:rFonts w:ascii="Arial" w:eastAsia="Arial" w:hAnsi="Arial" w:cs="Arial"/>
          <w:sz w:val="20"/>
          <w:szCs w:val="20"/>
          <w:lang w:val="pt-PT"/>
        </w:rPr>
      </w:pPr>
      <w:r>
        <w:rPr>
          <w:rFonts w:ascii="Arial" w:eastAsia="Arial" w:hAnsi="Arial" w:cs="Arial"/>
          <w:b/>
          <w:sz w:val="20"/>
          <w:szCs w:val="20"/>
          <w:lang w:val="pt-PT"/>
        </w:rPr>
        <w:t xml:space="preserve">Prazo de candidatura e forma de apresentação das candidaturas</w:t>
      </w:r>
      <w:r>
        <w:rPr>
          <w:rFonts w:ascii="Arial" w:eastAsia="Arial" w:hAnsi="Arial" w:cs="Arial"/>
          <w:sz w:val="20"/>
          <w:szCs w:val="20"/>
          <w:lang w:val="pt-PT"/>
        </w:rPr>
        <w:t xml:space="preserve">:</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O concurso encontra-se aber</w:t>
      </w:r>
      <w:r>
        <w:rPr>
          <w:rFonts w:ascii="Arial" w:eastAsia="Arial" w:hAnsi="Arial" w:cs="Arial"/>
          <w:sz w:val="20"/>
          <w:szCs w:val="20"/>
          <w:lang w:val="pt-PT"/>
        </w:rPr>
        <w:t xml:space="preserve">to no período de </w:t>
      </w:r>
      <w:r>
        <w:rPr>
          <w:rFonts w:ascii="Arial" w:eastAsia="Arial" w:hAnsi="Arial" w:cs="Arial"/>
          <w:sz w:val="20"/>
          <w:szCs w:val="20"/>
          <w:lang w:val="pt-PT"/>
        </w:rPr>
        <w:t xml:space="preserve">30-10-2026</w:t>
      </w:r>
      <w:r>
        <w:rPr>
          <w:rFonts w:ascii="Arial" w:eastAsia="Arial" w:hAnsi="Arial" w:cs="Arial"/>
          <w:sz w:val="20"/>
          <w:szCs w:val="20"/>
          <w:lang w:val="pt-PT"/>
        </w:rPr>
        <w:t xml:space="preserve"> a </w:t>
      </w:r>
      <w:r>
        <w:rPr>
          <w:rFonts w:ascii="Arial" w:eastAsia="Arial" w:hAnsi="Arial" w:cs="Arial"/>
          <w:sz w:val="20"/>
          <w:szCs w:val="20"/>
          <w:lang w:val="pt-PT"/>
        </w:rPr>
        <w:t xml:space="preserve">12-11-2026</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As candidaturas devem ser formalizadas, obrigatoriamente, através do envio de </w:t>
      </w:r>
      <w:r>
        <w:rPr>
          <w:rFonts w:ascii="Arial" w:eastAsia="Arial" w:hAnsi="Arial" w:cs="Arial"/>
          <w:sz w:val="20"/>
          <w:szCs w:val="20"/>
          <w:lang w:val="pt-PT"/>
        </w:rPr>
        <w:t xml:space="preserve">formulário</w:t>
      </w:r>
      <w:r>
        <w:rPr>
          <w:rFonts w:ascii="Arial" w:eastAsia="Arial" w:hAnsi="Arial" w:cs="Arial"/>
          <w:sz w:val="20"/>
          <w:szCs w:val="20"/>
          <w:lang w:val="pt-PT"/>
        </w:rPr>
        <w:t xml:space="preserve"> de </w:t>
      </w:r>
      <w:r>
        <w:rPr>
          <w:rFonts w:ascii="Arial" w:eastAsia="Arial" w:hAnsi="Arial" w:cs="Arial"/>
          <w:sz w:val="20"/>
          <w:szCs w:val="20"/>
          <w:lang w:val="pt-PT"/>
        </w:rPr>
        <w:t xml:space="preserve">candidatura acompanhado</w:t>
      </w:r>
      <w:r>
        <w:rPr>
          <w:rFonts w:ascii="Arial" w:eastAsia="Arial" w:hAnsi="Arial" w:cs="Arial"/>
          <w:sz w:val="20"/>
          <w:szCs w:val="20"/>
          <w:lang w:val="pt-PT"/>
        </w:rPr>
        <w:t xml:space="preserve"> dos</w:t>
      </w:r>
      <w:r>
        <w:rPr>
          <w:rFonts w:ascii="Arial" w:eastAsia="Arial" w:hAnsi="Arial" w:cs="Arial"/>
          <w:sz w:val="20"/>
          <w:szCs w:val="20"/>
          <w:lang w:val="pt-PT"/>
        </w:rPr>
        <w:t xml:space="preserve"> seguintes documentos: </w:t>
      </w:r>
      <w:r>
        <w:rPr>
          <w:rFonts w:ascii="Arial" w:eastAsia="Arial" w:hAnsi="Arial" w:cs="Arial"/>
          <w:sz w:val="20"/>
          <w:szCs w:val="20"/>
          <w:lang w:val="pt-PT"/>
        </w:rPr>
        <w:t xml:space="preserve">Cópia do(s) certificado(s) de habilitações, Curriculum Vitae do bolseiro detalhado [comprovando os requisitos acima referidos], Indicação dos seguintes dados: nº de cartão de cidadão,</w:t>
      </w:r>
    </w:p>
    <w:p>
      <w:pPr>
        <w:spacing w:line="360" w:lineRule="auto"/>
        <w:jc w:val="both"/>
        <w:rPr>
          <w:rFonts w:ascii="Arial" w:eastAsia="Arial" w:hAnsi="Arial" w:cs="Arial"/>
          <w:i/>
          <w:color w:val="0070C0"/>
          <w:sz w:val="18"/>
          <w:szCs w:val="18"/>
          <w:lang w:val="pt-PT"/>
        </w:rPr>
      </w:pPr>
      <w:r>
        <w:rPr>
          <w:rFonts w:ascii="Arial" w:eastAsia="Arial" w:hAnsi="Arial" w:cs="Arial"/>
          <w:sz w:val="20"/>
          <w:szCs w:val="20"/>
          <w:lang w:val="pt-PT"/>
        </w:rPr>
        <w:t xml:space="preserve">                                    nº de identificação fiscal – NIF, data de nascimento, contacto de telemóvel e endereço de correio eletrónico e Declaração sob compromisso de honra preenchido (que se encontra disponível na página de candidaturas)</w:t>
      </w:r>
      <w:r>
        <w:rPr>
          <w:rFonts w:ascii="Arial" w:eastAsia="Arial" w:hAnsi="Arial" w:cs="Arial"/>
          <w:sz w:val="20"/>
          <w:szCs w:val="20"/>
          <w:lang w:val="pt-PT"/>
        </w:rPr>
        <w:t xml:space="preserve">.</w:t>
      </w:r>
    </w:p>
    <w:p>
      <w:pPr>
        <w:spacing w:line="360" w:lineRule="auto"/>
        <w:jc w:val="both"/>
        <w:rPr>
          <w:rFonts w:ascii="Arial" w:eastAsia="Arial" w:hAnsi="Arial" w:cs="Arial"/>
          <w:color w:val="0070C0"/>
          <w:sz w:val="18"/>
          <w:szCs w:val="18"/>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 candidatura deverá ser efetuada através da Página do Campus Online da UTAD, na secção de Bolsas de Investigação, seguindo as seguintes indicações:</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Aceder à Página do Campus Online da UTAD: </w:t>
      </w:r>
      <w:hyperlink r:id="rId2" w:history="1">
        <w:r>
          <w:rPr>
            <w:rStyle w:val="Hiperligao"/>
            <w:rFonts w:ascii="Arial" w:eastAsia="Arial" w:hAnsi="Arial" w:cs="Arial"/>
            <w:sz w:val="20"/>
            <w:szCs w:val="20"/>
            <w:lang w:val="pt-PT"/>
          </w:rPr>
          <w:t xml:space="preserve">www.campus.utad.pt</w:t>
        </w:r>
      </w:hyperlink>
      <w:r>
        <w:rPr>
          <w:rFonts w:ascii="Arial" w:eastAsia="Arial" w:hAnsi="Arial" w:cs="Arial"/>
          <w:sz w:val="20"/>
          <w:szCs w:val="20"/>
          <w:lang w:val="pt-PT"/>
        </w:rPr>
        <w:t xml:space="preserve"> e</w:t>
      </w:r>
      <w:r>
        <w:rPr>
          <w:rFonts w:ascii="Arial" w:eastAsia="Arial" w:hAnsi="Arial" w:cs="Arial"/>
          <w:sz w:val="20"/>
          <w:szCs w:val="20"/>
          <w:lang w:val="pt-PT"/>
        </w:rPr>
        <w:t xml:space="preserve"> </w:t>
      </w:r>
      <w:r>
        <w:rPr>
          <w:rFonts w:ascii="Arial" w:eastAsia="Arial" w:hAnsi="Arial" w:cs="Arial"/>
          <w:sz w:val="20"/>
          <w:szCs w:val="20"/>
          <w:lang w:val="pt-PT"/>
        </w:rPr>
        <w:t xml:space="preserve">s</w:t>
      </w:r>
      <w:r>
        <w:rPr>
          <w:rFonts w:ascii="Arial" w:eastAsia="Arial" w:hAnsi="Arial" w:cs="Arial"/>
          <w:sz w:val="20"/>
          <w:szCs w:val="20"/>
          <w:lang w:val="pt-PT"/>
        </w:rPr>
        <w:t xml:space="preserve">elecionar a opção Bolsas de Investigação. Ou aceder diretamente a </w:t>
      </w:r>
      <w:hyperlink r:id="rId3" w:history="1">
        <w:r>
          <w:rPr>
            <w:rStyle w:val="Hiperligao"/>
            <w:rFonts w:ascii="Arial" w:eastAsia="Arial" w:hAnsi="Arial" w:cs="Arial"/>
            <w:sz w:val="20"/>
            <w:szCs w:val="20"/>
            <w:lang w:val="pt-PT"/>
          </w:rPr>
          <w:t xml:space="preserve">www.campus.utad.pt/bolsasinvestigacao/lista</w:t>
        </w:r>
      </w:hyperlink>
      <w:r>
        <w:rPr>
          <w:rFonts w:ascii="Arial" w:eastAsia="Arial" w:hAnsi="Arial" w:cs="Arial"/>
          <w:sz w:val="20"/>
          <w:szCs w:val="20"/>
          <w:lang w:val="pt-PT"/>
        </w:rPr>
        <w:t xml:space="preserve">. </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Selecionar a bolsa à qual se pretende candidatar.</w:t>
      </w:r>
    </w:p>
    <w:p>
      <w:pPr>
        <w:pStyle w:val="PargrafodaLista"/>
        <w:autoSpaceDE w:val="0"/>
        <w:autoSpaceDN w:val="0"/>
        <w:adjustRightInd w:val="0"/>
        <w:numPr>
          <w:ilvl w:val="0"/>
          <w:numId w:val="8"/>
        </w:numPr>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Ao selecionar a opção “Candidatar” será reencaminhado para a página de candidatura na qual deverá preencher e </w:t>
      </w:r>
      <w:r>
        <w:rPr>
          <w:rFonts w:ascii="Arial" w:eastAsia="Arial" w:hAnsi="Arial" w:cs="Arial"/>
          <w:sz w:val="20"/>
          <w:szCs w:val="20"/>
          <w:lang w:val="pt-PT"/>
        </w:rPr>
        <w:t xml:space="preserve">submeter</w:t>
      </w:r>
      <w:r>
        <w:rPr>
          <w:rFonts w:ascii="Arial" w:eastAsia="Arial" w:hAnsi="Arial" w:cs="Arial"/>
          <w:sz w:val="20"/>
          <w:szCs w:val="20"/>
          <w:lang w:val="pt-PT"/>
        </w:rPr>
        <w:t xml:space="preserve"> o respetivo formulário.</w:t>
      </w: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p>
    <w:p>
      <w:pPr>
        <w:autoSpaceDE w:val="0"/>
        <w:autoSpaceDN w:val="0"/>
        <w:adjustRightInd w:val="0"/>
        <w:spacing w:line="360" w:lineRule="auto"/>
        <w:jc w:val="both"/>
        <w:rPr>
          <w:rFonts w:ascii="Arial" w:eastAsia="Arial" w:hAnsi="Arial" w:cs="Arial"/>
          <w:sz w:val="20"/>
          <w:szCs w:val="20"/>
          <w:lang w:val="pt-PT"/>
        </w:rPr>
      </w:pPr>
      <w:r>
        <w:rPr>
          <w:rFonts w:ascii="Arial" w:eastAsia="Arial" w:hAnsi="Arial" w:cs="Arial"/>
          <w:sz w:val="20"/>
          <w:szCs w:val="20"/>
          <w:lang w:val="pt-PT"/>
        </w:rPr>
        <w:t xml:space="preserve">O/a candidato/a tem direito a igualdade de oportunidades e de tratamento, não podendo ser privilegiado/a, beneficiado/a, prejudicado/a, privado/a de qualquer direito ou isento/a de qualquer dever em razão, nomeadamente, de ascendência, idade, sexo, orientação sexual, estado civil, situação familiar, situação económica, instrução, origem ou condição social, património genético, capacidade de trabalho reduzida, deficiência, doença crónica, nacionalidade, origem étnica ou raça, território de origem, língua, religião, convicções políticas ou ideológicas e filiação sindical.</w:t>
      </w:r>
    </w:p>
    <w:sectPr>
      <w:headerReference w:type="default" r:id="rId4"/>
      <w:footerReference w:type="default" r:id="rId5"/>
      <w:type w:val="nextPage"/>
      <w:pgSz w:w="11906" w:h="16838"/>
      <w:pgMar w:top="1438" w:right="1134" w:bottom="360" w:left="1134" w:footer="324" w:header="720" w:gutter="0"/>
      <w:pgBorders>
        <w:top w:val="none" w:sz="0" w:space="0" w:color="auto"/>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pgBorders>
      <w:pgNumType w:fmt="decimal"/>
      <w:cols w:num="1" w:equalWidth="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Auto"/>
    <w:pitch w:val="variable"/>
    <w:sig w:usb0="00000000" w:usb1="10000000" w:usb2="00000000" w:usb3="00000000" w:csb0="00000000" w:csb1="10000000"/>
  </w:font>
  <w:font w:name="Times New Roman">
    <w:panose1 w:val="02020603050405020304"/>
    <w:charset w:val="00"/>
    <w:family w:val="Auto"/>
    <w:pitch w:val="variable"/>
    <w:sig w:usb0="E0002EFF" w:usb1="C000785B" w:usb2="00000009" w:usb3="00000000" w:csb0="E0002EFF" w:csb1="C000785B"/>
  </w:font>
  <w:font w:name="Courier New">
    <w:panose1 w:val="02070309020205020404"/>
    <w:charset w:val="00"/>
    <w:family w:val="Auto"/>
    <w:pitch w:val="fixed"/>
    <w:sig w:usb0="E0002EFF" w:usb1="C0007843" w:usb2="00000009" w:usb3="00000000" w:csb0="E0002EFF" w:csb1="C0007843"/>
  </w:font>
  <w:font w:name="Wingdings">
    <w:panose1 w:val="05000000000000000000"/>
    <w:charset w:val="02"/>
    <w:family w:val="Auto"/>
    <w:pitch w:val="variable"/>
    <w:sig w:usb0="00000000" w:usb1="10000000" w:usb2="00000000" w:usb3="00000000" w:csb0="00000000" w:csb1="10000000"/>
  </w:font>
  <w:font w:name="Arial">
    <w:panose1 w:val="020B0604020202020204"/>
    <w:charset w:val="00"/>
    <w:family w:val="Auto"/>
    <w:pitch w:val="variable"/>
    <w:sig w:usb0="E0002EFF" w:usb1="C000785B" w:usb2="00000009" w:usb3="00000000" w:csb0="E0002EFF" w:csb1="C000785B"/>
  </w:font>
  <w:font w:name="Tahoma">
    <w:panose1 w:val="020B0604030504040204"/>
    <w:charset w:val="00"/>
    <w:family w:val="Auto"/>
    <w:pitch w:val="variable"/>
    <w:sig w:usb0="E1002EFF" w:usb1="C000605B" w:usb2="00000029" w:usb3="00000000" w:csb0="E1002EFF" w:csb1="C000605B"/>
  </w:font>
  <w:font w:name="Calibri">
    <w:panose1 w:val="020F0502020204030204"/>
    <w:charset w:val="00"/>
    <w:family w:val="Auto"/>
    <w:pitch w:val="variable"/>
    <w:sig w:usb0="E4002EFF" w:usb1="C200247B" w:usb2="00000009" w:usb3="00000000" w:csb0="E4002EFF" w:csb1="C200247B"/>
  </w:font>
  <w:font w:name="Calibri Light">
    <w:panose1 w:val="020F0302020204030204"/>
    <w:charset w:val="00"/>
    <w:family w:val="Auto"/>
    <w:pitch w:val="variable"/>
    <w:sig w:usb0="E4002EFF" w:usb1="C200247B" w:usb2="00000009" w:usb3="00000000" w:csb0="E4002EFF" w:csb1="C200247B"/>
  </w:font>
</w:fonts>
</file>

<file path=word/footer5.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Rodap"/>
      <w:tabs>
        <w:tab w:pos="4252" w:val="center"/>
        <w:tab w:pos="8504" w:val="right"/>
      </w:tabs>
      <w:spacing/>
      <w:ind w:left="-180" w:right="-442"/>
      <w:rPr/>
    </w:pPr>
    <w:r>
      <w:rPr>
        <w:noProof/>
      </w:rPr>
      <w:drawing>
        <wp:inline>
          <wp:extent cx="1371600" cy="304800"/>
          <wp:effectExtent xmlns:wp="http://schemas.openxmlformats.org/drawingml/2006/wordprocessingDrawing" l="0" t="0" r="0" b="0"/>
          <wp:docPr id="1" name=""/>
          <a:graphic>
            <a:graphicData uri="http://schemas.openxmlformats.org/drawingml/2006/picture">
              <pic:pic>
                <pic:nvPicPr>
                  <pic:cNvPr id="0" name="" descr=""/>
                  <pic:cNvPicPr>
                    <a:picLocks noChangeAspect="1" noChangeArrowheads="1"/>
                  </pic:cNvPicPr>
                </pic:nvPicPr>
                <pic:blipFill>
                  <a:blip r:embed="rId7"/>
                  <a:stretch>
                    <a:fillRect/>
                  </a:stretch>
                </pic:blipFill>
                <pic:spPr bwMode="auto">
                  <a:xfrm>
                    <a:off x="0" y="0"/>
                    <a:ext cx="1371600" cy="304800"/>
                  </a:xfrm>
                  <a:prstGeom prst="rect">
                    <a:avLst/>
                  </a:prstGeom>
                </pic:spPr>
              </pic:pic>
            </a:graphicData>
          </a:graphic>
        </wp:inline>
      </w:drawing>
    </w:r>
    <w:r>
      <w:rPr/>
      <w:t xml:space="preserve">     </w:t>
    </w:r>
    <w:r>
      <w:rPr/>
      <w:t xml:space="preserve"> </w:t>
    </w:r>
    <w:r>
      <w:rPr>
        <w:noProof/>
      </w:rPr>
      <w:drawing>
        <wp:inline>
          <wp:extent cx="1209675" cy="314325"/>
          <wp:effectExtent xmlns:wp="http://schemas.openxmlformats.org/drawingml/2006/wordprocessingDrawing" l="0" t="0" r="9525" b="9525"/>
          <wp:docPr id="2" name=""/>
          <a:graphic>
            <a:graphicData uri="http://schemas.openxmlformats.org/drawingml/2006/picture">
              <pic:pic>
                <pic:nvPicPr>
                  <pic:cNvPr id="0" name="" descr=""/>
                  <pic:cNvPicPr>
                    <a:picLocks noChangeAspect="1" noChangeArrowheads="1"/>
                  </pic:cNvPicPr>
                </pic:nvPicPr>
                <pic:blipFill>
                  <a:blip r:embed="rId9"/>
                  <a:stretch>
                    <a:fillRect/>
                  </a:stretch>
                </pic:blipFill>
                <pic:spPr bwMode="auto">
                  <a:xfrm>
                    <a:off x="0" y="0"/>
                    <a:ext cx="1209675" cy="314325"/>
                  </a:xfrm>
                  <a:prstGeom prst="rect">
                    <a:avLst/>
                  </a:prstGeom>
                </pic:spPr>
              </pic:pic>
            </a:graphicData>
          </a:graphic>
        </wp:inline>
      </w:drawing>
    </w:r>
    <w:r>
      <w:rPr/>
      <w:t xml:space="preserve"> </w:t>
    </w:r>
    <w:r>
      <w:rPr/>
      <w:t xml:space="preserve">       </w:t>
    </w:r>
    <w:r>
      <w:rPr>
        <w:noProof/>
      </w:rPr>
      <w:drawing>
        <wp:inline>
          <wp:extent cx="942975" cy="552450"/>
          <wp:effectExtent xmlns:wp="http://schemas.openxmlformats.org/drawingml/2006/wordprocessingDrawing" l="0" t="0" r="9525" b="0"/>
          <wp:docPr id="3" name=""/>
          <a:graphic>
            <a:graphicData uri="http://schemas.openxmlformats.org/drawingml/2006/picture">
              <pic:pic>
                <pic:nvPicPr>
                  <pic:cNvPr id="0" name="" descr=""/>
                  <pic:cNvPicPr>
                    <a:picLocks noChangeAspect="1" noChangeArrowheads="1"/>
                  </pic:cNvPicPr>
                </pic:nvPicPr>
                <pic:blipFill>
                  <a:blip r:embed="rId11"/>
                  <a:stretch>
                    <a:fillRect/>
                  </a:stretch>
                </pic:blipFill>
                <pic:spPr bwMode="auto">
                  <a:xfrm>
                    <a:off x="0" y="0"/>
                    <a:ext cx="942975" cy="552450"/>
                  </a:xfrm>
                  <a:prstGeom prst="rect">
                    <a:avLst/>
                  </a:prstGeom>
                </pic:spPr>
              </pic:pic>
            </a:graphicData>
          </a:graphic>
        </wp:inline>
      </w:drawing>
    </w:r>
    <w:r>
      <w:rPr/>
      <w:t xml:space="preserve">       </w:t>
    </w:r>
    <w:r>
      <w:rPr>
        <w:noProof/>
      </w:rPr>
      <w:drawing>
        <wp:inline>
          <wp:extent cx="838200" cy="409575"/>
          <wp:effectExtent xmlns:wp="http://schemas.openxmlformats.org/drawingml/2006/wordprocessingDrawing" l="0" t="0" r="0" b="9525"/>
          <wp:docPr id="4" name=""/>
          <a:graphic>
            <a:graphicData uri="http://schemas.openxmlformats.org/drawingml/2006/picture">
              <pic:pic>
                <pic:nvPicPr>
                  <pic:cNvPr id="0" name="" descr=""/>
                  <pic:cNvPicPr>
                    <a:picLocks noChangeAspect="1" noChangeArrowheads="1"/>
                  </pic:cNvPicPr>
                </pic:nvPicPr>
                <pic:blipFill>
                  <a:blip r:embed="rId13"/>
                  <a:stretch>
                    <a:fillRect/>
                  </a:stretch>
                </pic:blipFill>
                <pic:spPr bwMode="auto">
                  <a:xfrm>
                    <a:off x="0" y="0"/>
                    <a:ext cx="838200" cy="409575"/>
                  </a:xfrm>
                  <a:prstGeom prst="rect">
                    <a:avLst/>
                  </a:prstGeom>
                </pic:spPr>
              </pic:pic>
            </a:graphicData>
          </a:graphic>
        </wp:inline>
      </w:drawing>
    </w:r>
    <w:r>
      <w:rPr/>
      <w:t xml:space="preserve">        </w:t>
    </w:r>
    <w:r>
      <w:rPr>
        <w:noProof/>
      </w:rPr>
      <w:drawing>
        <wp:inline>
          <wp:extent cx="952500" cy="342900"/>
          <wp:effectExtent xmlns:wp="http://schemas.openxmlformats.org/drawingml/2006/wordprocessingDrawing" l="0" t="0" r="0" b="0"/>
          <wp:docPr id="5" name=""/>
          <a:graphic>
            <a:graphicData uri="http://schemas.openxmlformats.org/drawingml/2006/picture">
              <pic:pic>
                <pic:nvPicPr>
                  <pic:cNvPr id="0" name="" descr=""/>
                  <pic:cNvPicPr>
                    <a:picLocks noChangeAspect="1" noChangeArrowheads="1"/>
                  </pic:cNvPicPr>
                </pic:nvPicPr>
                <pic:blipFill>
                  <a:blip r:embed="rId15"/>
                  <a:stretch>
                    <a:fillRect/>
                  </a:stretch>
                </pic:blipFill>
                <pic:spPr bwMode="auto">
                  <a:xfrm>
                    <a:off x="0" y="0"/>
                    <a:ext cx="952500" cy="342900"/>
                  </a:xfrm>
                  <a:prstGeom prst="rect">
                    <a:avLst/>
                  </a:prstGeom>
                </pic:spPr>
              </pic:pic>
            </a:graphicData>
          </a:graphic>
        </wp:inline>
      </w:drawing>
    </w:r>
  </w:p>
</w:ftr>
</file>

<file path=word/header4.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http://schemas.openxmlformats.org/wordprocessingml/2006/main">
  <w:p>
    <w:pPr>
      <w:pStyle w:val="Cabealho"/>
      <w:tabs>
        <w:tab w:pos="4252" w:val="center"/>
        <w:tab w:pos="8504" w:val="right"/>
      </w:tabs>
      <w:spacing/>
      <w:jc w:val="right"/>
      <w:rPr/>
    </w:pPr>
    <w:r>
      <w:rPr>
        <w:noProof/>
      </w:rPr>
      <w:drawing>
        <wp:inline>
          <wp:extent cx="2238375" cy="381000"/>
          <wp:effectExtent xmlns:wp="http://schemas.openxmlformats.org/drawingml/2006/wordprocessingDrawing" l="0" t="0" r="9525" b="0"/>
          <wp:docPr id="6" name="" descr="C:\Users\lfavas\AppData\Local\Microsoft\Windows\INetCache\Content.Word\logo_utad_completo_azul.png"/>
          <a:graphic>
            <a:graphicData uri="http://schemas.openxmlformats.org/drawingml/2006/picture">
              <pic:pic>
                <pic:nvPicPr>
                  <pic:cNvPr id="0" name="" descr=""/>
                  <pic:cNvPicPr>
                    <a:picLocks noChangeAspect="1" noChangeArrowheads="1"/>
                  </pic:cNvPicPr>
                </pic:nvPicPr>
                <pic:blipFill>
                  <a:blip r:embed="rId17"/>
                  <a:stretch>
                    <a:fillRect/>
                  </a:stretch>
                </pic:blipFill>
                <pic:spPr bwMode="auto">
                  <a:xfrm>
                    <a:off x="0" y="0"/>
                    <a:ext cx="2238375" cy="381000"/>
                  </a:xfrm>
                  <a:prstGeom prst="rect">
                    <a:avLst/>
                  </a:prstGeom>
                </pic:spPr>
              </pic:pic>
            </a:graphicData>
          </a:graphic>
        </wp:inline>
      </w:drawing>
    </w:r>
  </w:p>
  <w:p>
    <w:pPr>
      <w:pStyle w:val="Cabealho"/>
      <w:tabs>
        <w:tab w:pos="4252" w:val="center"/>
        <w:tab w:pos="8504" w:val="right"/>
      </w:tabs>
      <w:spacing/>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pPr>
        <w:spacing/>
        <w:ind w:left="1080" w:hanging="360"/>
      </w:pPr>
      <w:rPr>
        <w:rFonts w:ascii="Times New Roman" w:eastAsia="Times New Roman" w:hAnsi="Times New Roman" w:cs="Times New Roman"/>
      </w:rPr>
    </w:lvl>
    <w:lvl w:ilvl="1">
      <w:start w:val="1"/>
      <w:numFmt w:val="lowerLetter"/>
      <w:suff w:val="tab"/>
      <w:lvlText w:val="%2."/>
      <w:lvlJc w:val="right"/>
      <w:pPr>
        <w:spacing/>
        <w:ind w:left="1800" w:hanging="360"/>
      </w:pPr>
      <w:rPr>
        <w:rFonts w:ascii="Times New Roman" w:eastAsia="Times New Roman" w:hAnsi="Times New Roman" w:cs="Times New Roman"/>
      </w:rPr>
    </w:lvl>
    <w:lvl w:ilvl="2">
      <w:start w:val="1"/>
      <w:numFmt w:val="lowerRoman"/>
      <w:suff w:val="tab"/>
      <w:lvlText w:val="%3."/>
      <w:pPr>
        <w:spacing/>
        <w:ind w:left="2520" w:hanging="360"/>
      </w:pPr>
      <w:rPr>
        <w:rFonts w:ascii="Times New Roman" w:eastAsia="Times New Roman" w:hAnsi="Times New Roman" w:cs="Times New Roman"/>
      </w:rPr>
    </w:lvl>
    <w:lvl w:ilvl="3">
      <w:start w:val="1"/>
      <w:numFmt w:val="decimal"/>
      <w:suff w:val="tab"/>
      <w:lvlText w:val="%4."/>
      <w:pPr>
        <w:spacing/>
        <w:ind w:left="3240" w:hanging="360"/>
      </w:pPr>
      <w:rPr>
        <w:rFonts w:ascii="Times New Roman" w:eastAsia="Times New Roman" w:hAnsi="Times New Roman" w:cs="Times New Roman"/>
      </w:rPr>
    </w:lvl>
    <w:lvl w:ilvl="4">
      <w:start w:val="1"/>
      <w:numFmt w:val="lowerLetter"/>
      <w:suff w:val="tab"/>
      <w:lvlText w:val="%5."/>
      <w:lvlJc w:val="right"/>
      <w:pPr>
        <w:spacing/>
        <w:ind w:left="3960" w:hanging="360"/>
      </w:pPr>
      <w:rPr>
        <w:rFonts w:ascii="Times New Roman" w:eastAsia="Times New Roman" w:hAnsi="Times New Roman" w:cs="Times New Roman"/>
      </w:rPr>
    </w:lvl>
    <w:lvl w:ilvl="5">
      <w:start w:val="1"/>
      <w:numFmt w:val="lowerRoman"/>
      <w:suff w:val="tab"/>
      <w:lvlText w:val="%6."/>
      <w:pPr>
        <w:spacing/>
        <w:ind w:left="4680" w:hanging="360"/>
      </w:pPr>
      <w:rPr>
        <w:rFonts w:ascii="Times New Roman" w:eastAsia="Times New Roman" w:hAnsi="Times New Roman" w:cs="Times New Roman"/>
      </w:rPr>
    </w:lvl>
    <w:lvl w:ilvl="6">
      <w:start w:val="1"/>
      <w:numFmt w:val="decimal"/>
      <w:suff w:val="tab"/>
      <w:lvlText w:val="%7."/>
      <w:pPr>
        <w:spacing/>
        <w:ind w:left="5400" w:hanging="360"/>
      </w:pPr>
      <w:rPr>
        <w:rFonts w:ascii="Times New Roman" w:eastAsia="Times New Roman" w:hAnsi="Times New Roman" w:cs="Times New Roman"/>
      </w:rPr>
    </w:lvl>
    <w:lvl w:ilvl="7">
      <w:start w:val="1"/>
      <w:numFmt w:val="lowerLetter"/>
      <w:suff w:val="tab"/>
      <w:lvlText w:val="%8."/>
      <w:lvlJc w:val="right"/>
      <w:pPr>
        <w:spacing/>
        <w:ind w:left="6120" w:hanging="360"/>
      </w:pPr>
      <w:rPr>
        <w:rFonts w:ascii="Times New Roman" w:eastAsia="Times New Roman" w:hAnsi="Times New Roman" w:cs="Times New Roman"/>
      </w:rPr>
    </w:lvl>
    <w:lvl w:ilvl="8">
      <w:start w:val="1"/>
      <w:numFmt w:val="lowerRoman"/>
      <w:suff w:val="tab"/>
      <w:lvlText w:val="%9."/>
      <w:pPr>
        <w:spacing/>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pPr>
        <w:spacing/>
        <w:ind w:left="1080" w:hanging="360"/>
      </w:pPr>
      <w:rPr>
        <w:rFonts w:ascii="Symbol" w:eastAsia="Symbol" w:hAnsi="Symbol" w:cs="Symbol"/>
      </w:rPr>
    </w:lvl>
    <w:lvl w:ilvl="1">
      <w:start w:val="1"/>
      <w:numFmt w:val="bullet"/>
      <w:suff w:val="tab"/>
      <w:lvlText w:val="o"/>
      <w:pPr>
        <w:spacing/>
        <w:ind w:left="1800" w:hanging="360"/>
      </w:pPr>
      <w:rPr>
        <w:rFonts w:ascii="Courier New" w:eastAsia="Courier New" w:hAnsi="Courier New" w:cs="Courier New"/>
      </w:rPr>
    </w:lvl>
    <w:lvl w:ilvl="2">
      <w:start w:val="1"/>
      <w:numFmt w:val="bullet"/>
      <w:suff w:val="tab"/>
      <w:lvlText w:val=""/>
      <w:pPr>
        <w:spacing/>
        <w:ind w:left="2520" w:hanging="360"/>
      </w:pPr>
      <w:rPr>
        <w:rFonts w:ascii="Wingdings" w:eastAsia="Wingdings" w:hAnsi="Wingdings" w:cs="Wingdings"/>
      </w:rPr>
    </w:lvl>
    <w:lvl w:ilvl="3">
      <w:start w:val="1"/>
      <w:numFmt w:val="bullet"/>
      <w:suff w:val="tab"/>
      <w:lvlText w:val=""/>
      <w:pPr>
        <w:spacing/>
        <w:ind w:left="3240" w:hanging="360"/>
      </w:pPr>
      <w:rPr>
        <w:rFonts w:ascii="Symbol" w:eastAsia="Symbol" w:hAnsi="Symbol" w:cs="Symbol"/>
      </w:rPr>
    </w:lvl>
    <w:lvl w:ilvl="4">
      <w:start w:val="1"/>
      <w:numFmt w:val="bullet"/>
      <w:suff w:val="tab"/>
      <w:lvlText w:val="o"/>
      <w:pPr>
        <w:spacing/>
        <w:ind w:left="3960" w:hanging="360"/>
      </w:pPr>
      <w:rPr>
        <w:rFonts w:ascii="Courier New" w:eastAsia="Courier New" w:hAnsi="Courier New" w:cs="Courier New"/>
      </w:rPr>
    </w:lvl>
    <w:lvl w:ilvl="5">
      <w:start w:val="1"/>
      <w:numFmt w:val="bullet"/>
      <w:suff w:val="tab"/>
      <w:lvlText w:val=""/>
      <w:pPr>
        <w:spacing/>
        <w:ind w:left="4680" w:hanging="360"/>
      </w:pPr>
      <w:rPr>
        <w:rFonts w:ascii="Wingdings" w:eastAsia="Wingdings" w:hAnsi="Wingdings" w:cs="Wingdings"/>
      </w:rPr>
    </w:lvl>
    <w:lvl w:ilvl="6">
      <w:start w:val="1"/>
      <w:numFmt w:val="bullet"/>
      <w:suff w:val="tab"/>
      <w:lvlText w:val=""/>
      <w:pPr>
        <w:spacing/>
        <w:ind w:left="5400" w:hanging="360"/>
      </w:pPr>
      <w:rPr>
        <w:rFonts w:ascii="Symbol" w:eastAsia="Symbol" w:hAnsi="Symbol" w:cs="Symbol"/>
      </w:rPr>
    </w:lvl>
    <w:lvl w:ilvl="7">
      <w:start w:val="1"/>
      <w:numFmt w:val="bullet"/>
      <w:suff w:val="tab"/>
      <w:lvlText w:val="o"/>
      <w:pPr>
        <w:spacing/>
        <w:ind w:left="6120" w:hanging="360"/>
      </w:pPr>
      <w:rPr>
        <w:rFonts w:ascii="Courier New" w:eastAsia="Courier New" w:hAnsi="Courier New" w:cs="Courier New"/>
      </w:rPr>
    </w:lvl>
    <w:lvl w:ilvl="8">
      <w:start w:val="1"/>
      <w:numFmt w:val="bullet"/>
      <w:suff w:val="tab"/>
      <w:lvlText w:val=""/>
      <w:pPr>
        <w:spacing/>
        <w:ind w:left="6840" w:hanging="360"/>
      </w:pPr>
      <w:rPr>
        <w:rFonts w:ascii="Wingdings" w:eastAsia="Wingdings" w:hAnsi="Wingdings" w:cs="Wingdings"/>
      </w:rPr>
    </w:lvl>
  </w:abstractNum>
  <w:abstractNum w:abstractNumId="2">
    <w:multiLevelType w:val="hybridMultilevel"/>
    <w:lvl w:ilvl="0">
      <w:start w:val="1"/>
      <w:numFmt w:val="bullet"/>
      <w:suff w:val="tab"/>
      <w:lvlText w:val=""/>
      <w:pPr>
        <w:spacing/>
        <w:ind w:left="720" w:hanging="360"/>
      </w:pPr>
      <w:rPr>
        <w:rFonts w:ascii="Symbol" w:eastAsia="Symbol" w:hAnsi="Symbol" w:cs="Symbo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3">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4">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5">
    <w:multiLevelType w:val="singleLevel"/>
    <w:lvl w:ilvl="0">
      <w:start w:val="0"/>
      <w:numFmt w:val="bullet"/>
      <w:suff w:val="tab"/>
      <w:lvlText w:val="-"/>
      <w:pPr>
        <w:tabs>
          <w:tab w:pos="360" w:val="num"/>
        </w:tabs>
        <w:spacing/>
        <w:ind w:left="360" w:hanging="360"/>
      </w:pPr>
      <w:rPr>
        <w:rFonts w:hint="default"/>
      </w:rPr>
    </w:lvl>
  </w:abstractNum>
  <w:abstractNum w:abstractNumId="6">
    <w:multiLevelType w:val="hybridMultilevel"/>
    <w:lvl w:ilvl="0">
      <w:start w:val="1"/>
      <w:numFmt w:val="decimal"/>
      <w:suff w:val="tab"/>
      <w:lvlText w:val="%1."/>
      <w:pPr>
        <w:tabs>
          <w:tab w:pos="720" w:val="num"/>
        </w:tabs>
        <w:spacing/>
        <w:ind w:left="720" w:hanging="360"/>
      </w:pPr>
      <w:rPr>
        <w:rFonts w:ascii="Times New Roman" w:eastAsia="Times New Roman" w:hAnsi="Times New Roman" w:cs="Times New Roman"/>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abstractNum w:abstractNumId="7">
    <w:multiLevelType w:val="hybridMultilevel"/>
    <w:lvl w:ilvl="0">
      <w:start w:val="0"/>
      <w:numFmt w:val="bullet"/>
      <w:suff w:val="tab"/>
      <w:lvlText w:val=""/>
      <w:pPr>
        <w:spacing/>
        <w:ind w:left="720" w:hanging="360"/>
      </w:pPr>
      <w:rPr>
        <w:rFonts w:ascii="Symbol" w:eastAsia="Times New Roman" w:hAnsi="Symbol" w:cs="Arial" w:hint="default"/>
      </w:rPr>
    </w:lvl>
    <w:lvl w:ilvl="1">
      <w:start w:val="1"/>
      <w:numFmt w:val="bullet"/>
      <w:suff w:val="tab"/>
      <w:lvlText w:val="o"/>
      <w:pPr>
        <w:spacing/>
        <w:ind w:left="1440" w:hanging="360"/>
      </w:pPr>
      <w:rPr>
        <w:rFonts w:ascii="Courier New" w:eastAsia="Courier New" w:hAnsi="Courier New" w:cs="Courier New" w:hint="default"/>
      </w:rPr>
    </w:lvl>
    <w:lvl w:ilvl="2">
      <w:start w:val="1"/>
      <w:numFmt w:val="bullet"/>
      <w:suff w:val="tab"/>
      <w:lvlText w:val=""/>
      <w:pPr>
        <w:spacing/>
        <w:ind w:left="2160" w:hanging="360"/>
      </w:pPr>
      <w:rPr>
        <w:rFonts w:ascii="Wingdings" w:eastAsia="Wingdings" w:hAnsi="Wingdings" w:cs="Wingdings" w:hint="default"/>
      </w:rPr>
    </w:lvl>
    <w:lvl w:ilvl="3">
      <w:start w:val="1"/>
      <w:numFmt w:val="bullet"/>
      <w:suff w:val="tab"/>
      <w:lvlText w:val=""/>
      <w:pPr>
        <w:spacing/>
        <w:ind w:left="2880" w:hanging="360"/>
      </w:pPr>
      <w:rPr>
        <w:rFonts w:ascii="Symbol" w:eastAsia="Symbol" w:hAnsi="Symbol" w:cs="Symbol" w:hint="default"/>
      </w:rPr>
    </w:lvl>
    <w:lvl w:ilvl="4">
      <w:start w:val="1"/>
      <w:numFmt w:val="bullet"/>
      <w:suff w:val="tab"/>
      <w:lvlText w:val="o"/>
      <w:pPr>
        <w:spacing/>
        <w:ind w:left="3600" w:hanging="360"/>
      </w:pPr>
      <w:rPr>
        <w:rFonts w:ascii="Courier New" w:eastAsia="Courier New" w:hAnsi="Courier New" w:cs="Courier New" w:hint="default"/>
      </w:rPr>
    </w:lvl>
    <w:lvl w:ilvl="5">
      <w:start w:val="1"/>
      <w:numFmt w:val="bullet"/>
      <w:suff w:val="tab"/>
      <w:lvlText w:val=""/>
      <w:pPr>
        <w:spacing/>
        <w:ind w:left="4320" w:hanging="360"/>
      </w:pPr>
      <w:rPr>
        <w:rFonts w:ascii="Wingdings" w:eastAsia="Wingdings" w:hAnsi="Wingdings" w:cs="Wingdings" w:hint="default"/>
      </w:rPr>
    </w:lvl>
    <w:lvl w:ilvl="6">
      <w:start w:val="1"/>
      <w:numFmt w:val="bullet"/>
      <w:suff w:val="tab"/>
      <w:lvlText w:val=""/>
      <w:pPr>
        <w:spacing/>
        <w:ind w:left="5040" w:hanging="360"/>
      </w:pPr>
      <w:rPr>
        <w:rFonts w:ascii="Symbol" w:eastAsia="Symbol" w:hAnsi="Symbol" w:cs="Symbol" w:hint="default"/>
      </w:rPr>
    </w:lvl>
    <w:lvl w:ilvl="7">
      <w:start w:val="1"/>
      <w:numFmt w:val="bullet"/>
      <w:suff w:val="tab"/>
      <w:lvlText w:val="o"/>
      <w:pPr>
        <w:spacing/>
        <w:ind w:left="5760" w:hanging="360"/>
      </w:pPr>
      <w:rPr>
        <w:rFonts w:ascii="Courier New" w:eastAsia="Courier New" w:hAnsi="Courier New" w:cs="Courier New" w:hint="default"/>
      </w:rPr>
    </w:lvl>
    <w:lvl w:ilvl="8">
      <w:start w:val="1"/>
      <w:numFmt w:val="bullet"/>
      <w:suff w:val="tab"/>
      <w:lvlText w:val=""/>
      <w:pPr>
        <w:spacing/>
        <w:ind w:left="6480" w:hanging="360"/>
      </w:pPr>
      <w:rPr>
        <w:rFonts w:ascii="Wingdings" w:eastAsia="Wingdings" w:hAnsi="Wingdings" w:cs="Wingdings" w:hint="default"/>
      </w:rPr>
    </w:lvl>
  </w:abstractNum>
  <w:abstractNum w:abstractNumId="8">
    <w:multiLevelType w:val="singleLevel"/>
    <w:lvl w:ilvl="0">
      <w:start w:val="0"/>
      <w:numFmt w:val="bullet"/>
      <w:suff w:val="tab"/>
      <w:lvlText w:val="-"/>
      <w:pPr>
        <w:tabs>
          <w:tab w:pos="360" w:val="num"/>
        </w:tabs>
        <w:spacing/>
        <w:ind w:left="360" w:hanging="360"/>
      </w:pPr>
      <w:rPr>
        <w:rFonts w:hint="default"/>
      </w:rPr>
    </w:lvl>
  </w:abstractNum>
  <w:abstractNum w:abstractNumId="9">
    <w:multiLevelType w:val="hybridMultilevel"/>
    <w:lvl w:ilvl="0">
      <w:start w:val="1"/>
      <w:numFmt w:val="bullet"/>
      <w:suff w:val="tab"/>
      <w:lvlText w:val=""/>
      <w:pPr>
        <w:tabs>
          <w:tab w:pos="720" w:val="num"/>
        </w:tabs>
        <w:spacing/>
        <w:ind w:left="720" w:hanging="360"/>
      </w:pPr>
      <w:rPr>
        <w:rFonts w:ascii="Symbol" w:eastAsia="Symbol" w:hAnsi="Symbol" w:cs="Symbol" w:hint="default"/>
      </w:rPr>
    </w:lvl>
    <w:lvl w:ilvl="1">
      <w:start w:val="1"/>
      <w:numFmt w:val="bullet"/>
      <w:suff w:val="tab"/>
      <w:lvlText w:val="o"/>
      <w:pPr>
        <w:tabs>
          <w:tab w:pos="1440" w:val="num"/>
        </w:tabs>
        <w:spacing/>
        <w:ind w:left="1440" w:hanging="360"/>
      </w:pPr>
      <w:rPr>
        <w:rFonts w:ascii="Courier New" w:eastAsia="Courier New" w:hAnsi="Courier New" w:cs="Courier New" w:hint="default"/>
      </w:rPr>
    </w:lvl>
    <w:lvl w:ilvl="2">
      <w:start w:val="1"/>
      <w:numFmt w:val="bullet"/>
      <w:suff w:val="tab"/>
      <w:lvlText w:val=""/>
      <w:pPr>
        <w:tabs>
          <w:tab w:pos="2160" w:val="num"/>
        </w:tabs>
        <w:spacing/>
        <w:ind w:left="2160" w:hanging="360"/>
      </w:pPr>
      <w:rPr>
        <w:rFonts w:ascii="Wingdings" w:eastAsia="Wingdings" w:hAnsi="Wingdings" w:cs="Wingdings" w:hint="default"/>
      </w:rPr>
    </w:lvl>
    <w:lvl w:ilvl="3">
      <w:start w:val="1"/>
      <w:numFmt w:val="bullet"/>
      <w:suff w:val="tab"/>
      <w:lvlText w:val=""/>
      <w:pPr>
        <w:tabs>
          <w:tab w:pos="2880" w:val="num"/>
        </w:tabs>
        <w:spacing/>
        <w:ind w:left="2880" w:hanging="360"/>
      </w:pPr>
      <w:rPr>
        <w:rFonts w:ascii="Symbol" w:eastAsia="Symbol" w:hAnsi="Symbol" w:cs="Symbol" w:hint="default"/>
      </w:rPr>
    </w:lvl>
    <w:lvl w:ilvl="4">
      <w:start w:val="1"/>
      <w:numFmt w:val="bullet"/>
      <w:suff w:val="tab"/>
      <w:lvlText w:val="o"/>
      <w:pPr>
        <w:tabs>
          <w:tab w:pos="3600" w:val="num"/>
        </w:tabs>
        <w:spacing/>
        <w:ind w:left="3600" w:hanging="360"/>
      </w:pPr>
      <w:rPr>
        <w:rFonts w:ascii="Courier New" w:eastAsia="Courier New" w:hAnsi="Courier New" w:cs="Courier New" w:hint="default"/>
      </w:rPr>
    </w:lvl>
    <w:lvl w:ilvl="5">
      <w:start w:val="1"/>
      <w:numFmt w:val="bullet"/>
      <w:suff w:val="tab"/>
      <w:lvlText w:val=""/>
      <w:pPr>
        <w:tabs>
          <w:tab w:pos="4320" w:val="num"/>
        </w:tabs>
        <w:spacing/>
        <w:ind w:left="4320" w:hanging="360"/>
      </w:pPr>
      <w:rPr>
        <w:rFonts w:ascii="Wingdings" w:eastAsia="Wingdings" w:hAnsi="Wingdings" w:cs="Wingdings" w:hint="default"/>
      </w:rPr>
    </w:lvl>
    <w:lvl w:ilvl="6">
      <w:start w:val="1"/>
      <w:numFmt w:val="bullet"/>
      <w:suff w:val="tab"/>
      <w:lvlText w:val=""/>
      <w:pPr>
        <w:tabs>
          <w:tab w:pos="5040" w:val="num"/>
        </w:tabs>
        <w:spacing/>
        <w:ind w:left="5040" w:hanging="360"/>
      </w:pPr>
      <w:rPr>
        <w:rFonts w:ascii="Symbol" w:eastAsia="Symbol" w:hAnsi="Symbol" w:cs="Symbol" w:hint="default"/>
      </w:rPr>
    </w:lvl>
    <w:lvl w:ilvl="7">
      <w:start w:val="1"/>
      <w:numFmt w:val="bullet"/>
      <w:suff w:val="tab"/>
      <w:lvlText w:val="o"/>
      <w:pPr>
        <w:tabs>
          <w:tab w:pos="5760" w:val="num"/>
        </w:tabs>
        <w:spacing/>
        <w:ind w:left="5760" w:hanging="360"/>
      </w:pPr>
      <w:rPr>
        <w:rFonts w:ascii="Courier New" w:eastAsia="Courier New" w:hAnsi="Courier New" w:cs="Courier New" w:hint="default"/>
      </w:rPr>
    </w:lvl>
    <w:lvl w:ilvl="8">
      <w:start w:val="1"/>
      <w:numFmt w:val="bullet"/>
      <w:suff w:val="tab"/>
      <w:lvlText w:val=""/>
      <w:pPr>
        <w:tabs>
          <w:tab w:pos="6480" w:val="num"/>
        </w:tabs>
        <w:spacing/>
        <w:ind w:left="6480" w:hanging="360"/>
      </w:pPr>
      <w:rPr>
        <w:rFonts w:ascii="Wingdings" w:eastAsia="Wingdings" w:hAnsi="Wingdings" w:cs="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percent="100"/>
  <w:proofState w:grammar="clean"/>
  <w:defaultTabStop w:val="720"/>
  <w:characterSpacingControl w:val="doNotCompress"/>
  <w:hyphenationZone w:val="425"/>
  <w:footnotePr>
    <w:pos w:val="pageBottom"/>
    <w:numFmt w:val="decimal"/>
    <w:numRestart w:val="continuous"/>
    <w:numStart w:val="1"/>
  </w:footnotePr>
  <w:endnotePr>
    <w:pos w:val="docEnd"/>
    <w:numFmt w:val="lowerRoman"/>
    <w:numRestart w:val="continuous"/>
    <w:numStart w:val="1"/>
  </w:endnotePr>
  <w:embedSystemFonts xmlns:w="http://schemas.openxmlformats.org/wordprocessingml/2006/main"/>
  <w:stylePaneFormatFilter xmlns:w="http://schemas.openxmlformats.org/wordprocessingml/2006/main"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noPunctuationKerning xmlns:w="http://schemas.openxmlformats.org/wordprocessingml/2006/main"/>
  <w:doNotIncludeSubdocsInStats xmlns:w="http://schemas.openxmlformats.org/wordprocessingml/2006/main"/>
  <w:decimalSymbol xmlns:w="http://schemas.openxmlformats.org/wordprocessingml/2006/main" w:val=","/>
  <w:listSeparator xmlns:w="http://schemas.openxmlformats.org/wordprocessingml/2006/main" w:val=";"/>
  <w14:docId xmlns:w14="http://schemas.microsoft.com/office/word/2010/wordml" w14:val="768EB6D0"/>
  <w15:chartTrackingRefBased xmlns:w15="http://schemas.microsoft.com/office/word/2012/wordml"/>
  <w15:docId xmlns:w15="http://schemas.microsoft.com/office/word/2012/wordml" w15:val="{4C4CE3F4-4D8E-466F-B4D7-75B8FBA31D63}"/>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pt-PT" w:eastAsia="zh-CN" w:bidi="ar-S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PT" w:eastAsia="pt-PT" w:bidi="ar-SA"/>
      </w:rPr>
    </w:rPrDefault>
    <w:pPrDefault>
      <w:pPr>
        <w:spacing/>
      </w:pPr>
    </w:pPrDefault>
  </w:docDefaults>
  <w:latentStyles xmlns:w="http://schemas.openxmlformats.org/wordprocessingml/2006/main"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 w:default="1">
    <w:name w:val="Normal"/>
    <w:next w:val="Normal"/>
    <w:qFormat/>
    <w:pPr>
      <w:spacing/>
    </w:pPr>
    <w:rPr>
      <w:sz w:val="24"/>
      <w:szCs w:val="24"/>
      <w:lang w:val="en-GB" w:eastAsia="en-US"/>
    </w:rPr>
  </w:style>
  <w:style w:type="paragraph" w:styleId="Ttulo1">
    <w:name w:val="Heading 1"/>
    <w:basedOn w:val="Normal"/>
    <w:next w:val="Normal"/>
    <w:qFormat/>
    <w:pPr>
      <w:keepNext/>
      <w:spacing/>
      <w:outlineLvl w:val="0"/>
    </w:pPr>
    <w:rPr>
      <w:b/>
      <w:lang w:val="pt-PT"/>
    </w:rPr>
  </w:style>
  <w:style w:type="character" w:styleId="Tipodeletrapredefinidodopargrafo" w:default="1">
    <w:name w:val="Default Paragraph Font"/>
    <w:semiHidden/>
    <w:unhideWhenUsed/>
    <w:rPr/>
  </w:style>
  <w:style w:type="table" w:styleId="Tabelanormal" w:default="1">
    <w:name w:val="Normal Table"/>
    <w:semiHidden/>
    <w:unhideWhenUsed/>
    <w:tblPr>
      <w:tblInd w:w="0" w:type="dxa"/>
      <w:tblCellMar>
        <w:top w:w="0" w:type="dxa"/>
        <w:left w:w="108" w:type="dxa"/>
        <w:bottom w:w="0" w:type="dxa"/>
        <w:right w:w="108" w:type="dxa"/>
      </w:tblCellMar>
    </w:tblPr>
  </w:style>
  <w:style w:type="paragraph" w:styleId="Avanodecorpodetexto">
    <w:name w:val="Body Text Indent"/>
    <w:basedOn w:val="Normal"/>
    <w:pPr>
      <w:spacing w:after="60"/>
      <w:ind w:left="2880" w:hanging="2880"/>
    </w:pPr>
    <w:rPr>
      <w:lang w:val="pt-PT"/>
    </w:rPr>
  </w:style>
  <w:style w:type="paragraph" w:styleId="Ttulo">
    <w:name w:val="Title"/>
    <w:basedOn w:val="Normal"/>
    <w:qFormat/>
    <w:pPr>
      <w:spacing/>
      <w:jc w:val="center"/>
    </w:pPr>
    <w:rPr>
      <w:sz w:val="40"/>
      <w:lang w:val="pt-PT"/>
    </w:rPr>
  </w:style>
  <w:style w:type="paragraph" w:styleId="Corpodetexto">
    <w:name w:val="Body Text"/>
    <w:basedOn w:val="Normal"/>
    <w:pPr>
      <w:pBdr>
        <w:top w:val="single" w:sz="4" w:space="1" w:color="000000"/>
        <w:left w:val="single" w:sz="4" w:space="4" w:color="000000"/>
        <w:bottom w:val="single" w:sz="4" w:space="1" w:color="000000"/>
        <w:right w:val="single" w:sz="4" w:space="4" w:color="000000"/>
      </w:pBdr>
      <w:spacing w:after="60"/>
    </w:pPr>
    <w:rPr>
      <w:lang w:val="pt-PT"/>
    </w:rPr>
  </w:style>
  <w:style w:type="paragraph" w:styleId="Subttulo">
    <w:name w:val="Subtitle"/>
    <w:basedOn w:val="Normal"/>
    <w:link w:val="SubtítuloCaráter"/>
    <w:next w:val="Normal"/>
    <w:qFormat/>
    <w:pPr>
      <w:spacing/>
      <w:jc w:val="center"/>
    </w:pPr>
    <w:rPr>
      <w:b/>
      <w:sz w:val="32"/>
      <w:lang w:val="pt-PT"/>
    </w:rPr>
  </w:style>
  <w:style w:type="paragraph" w:styleId="Cabealho">
    <w:name w:val="Header"/>
    <w:basedOn w:val="Normal"/>
    <w:next w:val="Normal"/>
    <w:pPr>
      <w:tabs>
        <w:tab w:pos="4252" w:val="center"/>
        <w:tab w:pos="8504" w:val="right"/>
      </w:tabs>
      <w:spacing/>
    </w:pPr>
    <w:rPr/>
  </w:style>
  <w:style w:type="paragraph" w:styleId="Rodap">
    <w:name w:val="Footer"/>
    <w:basedOn w:val="Normal"/>
    <w:next w:val="Normal"/>
    <w:pPr>
      <w:tabs>
        <w:tab w:pos="4252" w:val="center"/>
        <w:tab w:pos="8504" w:val="right"/>
      </w:tabs>
      <w:spacing/>
    </w:pPr>
    <w:rPr/>
  </w:style>
  <w:style w:type="character" w:styleId="Hiperligao">
    <w:name w:val="Hyperlink"/>
    <w:rPr>
      <w:color w:val="0000FF"/>
      <w:u w:val="single"/>
    </w:rPr>
  </w:style>
  <w:style w:type="paragraph" w:styleId="Corpodetexto2">
    <w:name w:val="Body Text 2"/>
    <w:basedOn w:val="Normal"/>
    <w:pPr>
      <w:spacing/>
      <w:jc w:val="both"/>
    </w:pPr>
    <w:rPr>
      <w:lang w:val="pt-PT"/>
    </w:rPr>
  </w:style>
  <w:style w:type="paragraph" w:styleId="Textodebalo">
    <w:name w:val="Balloon Text"/>
    <w:basedOn w:val="Normal"/>
    <w:semiHidden/>
    <w:pPr>
      <w:spacing/>
    </w:pPr>
    <w:rPr>
      <w:rFonts w:ascii="Tahoma" w:eastAsia="Tahoma" w:hAnsi="Tahoma" w:cs="Tahoma"/>
      <w:sz w:val="16"/>
      <w:szCs w:val="16"/>
    </w:rPr>
  </w:style>
  <w:style w:type="paragraph" w:styleId="Textodenotaderodap">
    <w:name w:val="Footnote Text"/>
    <w:basedOn w:val="Normal"/>
    <w:link w:val="TextodenotaderodapéCaráter"/>
    <w:semiHidden/>
    <w:pPr>
      <w:spacing/>
    </w:pPr>
    <w:rPr>
      <w:rFonts w:ascii="Calibri" w:eastAsia="Calibri" w:hAnsi="Calibri" w:cs="Calibri"/>
      <w:sz w:val="20"/>
      <w:szCs w:val="20"/>
      <w:lang w:val="pt-PT"/>
    </w:rPr>
  </w:style>
  <w:style w:type="character" w:styleId="TextodenotaderodapCarter" w:customStyle="1">
    <w:name w:val="Texto de nota de rodapé Caráter"/>
    <w:link w:val="FootnoteText"/>
    <w:semiHidden/>
    <w:rPr>
      <w:rFonts w:ascii="Calibri" w:eastAsia="Calibri" w:hAnsi="Calibri" w:cs="Calibri"/>
      <w:lang w:val="pt-PT" w:eastAsia="en-US" w:bidi="ar-SA"/>
    </w:rPr>
  </w:style>
  <w:style w:type="character" w:styleId="Refdenotaderodap">
    <w:name w:val="Footnote Reference"/>
    <w:semiHidden/>
    <w:rPr>
      <w:rFonts w:cs="Times New Roman"/>
      <w:vertAlign w:val="superscript"/>
    </w:rPr>
  </w:style>
  <w:style w:type="character" w:styleId="SubttuloCarter" w:customStyle="1">
    <w:name w:val="Subtítulo Caráter"/>
    <w:link w:val="Subtitle"/>
    <w:rPr>
      <w:b/>
      <w:sz w:val="32"/>
      <w:szCs w:val="24"/>
      <w:lang w:eastAsia="en-US"/>
    </w:rPr>
  </w:style>
  <w:style w:type="paragraph" w:styleId="PargrafodaLista">
    <w:name w:val="List Paragraph"/>
    <w:basedOn w:val="Normal"/>
    <w:next w:val="ListParagraph"/>
    <w:qFormat/>
    <w:pPr>
      <w:spacing/>
      <w:ind w:left="720"/>
      <w:contextualSpacing/>
    </w:pPr>
    <w:rPr/>
  </w:style>
  <w:style w:type="character" w:styleId="Hiperligaovisitada">
    <w:name w:val="FollowedHyperlink"/>
    <w:basedOn w:val="Tipodeletrapredefinidodopargrafo"/>
    <w:rPr>
      <w:color w:val="954F72"/>
      <w:u w:val="single"/>
    </w:rPr>
  </w:style>
  <w:style w:type="character" w:styleId="Forte">
    <w:name w:val="Strong"/>
    <w:basedOn w:val="Tipodeletrapredefinidodopargrafo"/>
    <w:qFormat/>
    <w:rPr>
      <w:b/>
      <w:bCs/>
    </w:rPr>
  </w:style>
</w:styles>
</file>

<file path=word/_rels/document.xml.rels>&#65279;<?xml version="1.0" encoding="utf-8" standalone="yes"?><Relationships xmlns="http://schemas.openxmlformats.org/package/2006/relationships"><Relationship Id="rId18" Type="http://schemas.openxmlformats.org/officeDocument/2006/relationships/styles" Target="styles.xml" /><Relationship Id="rId19" Type="http://schemas.openxmlformats.org/officeDocument/2006/relationships/settings" Target="settings.xml" /><Relationship Id="rId20" Type="http://schemas.openxmlformats.org/officeDocument/2006/relationships/numbering" Target="numbering.xml" /><Relationship Id="rId5" Type="http://schemas.openxmlformats.org/officeDocument/2006/relationships/footer" Target="footer5.xml" /><Relationship Id="rId4" Type="http://schemas.openxmlformats.org/officeDocument/2006/relationships/header" Target="header4.xml" /><Relationship Id="rId21" Type="http://schemas.openxmlformats.org/officeDocument/2006/relationships/fontTable" Target="fontTable.xml" /><Relationship Id="rId22" Type="http://schemas.openxmlformats.org/officeDocument/2006/relationships/theme" Target="theme/theme1.xml" /><Relationship Id="rId1" Type="http://schemas.openxmlformats.org/officeDocument/2006/relationships/hyperlink" Target="https://www.fct.pt/apoios/bolsas/valores" TargetMode="External" /><Relationship Id="rId2" Type="http://schemas.openxmlformats.org/officeDocument/2006/relationships/hyperlink" Target="http://www.campus.utad.pt" TargetMode="External" /><Relationship Id="rId3" Type="http://schemas.openxmlformats.org/officeDocument/2006/relationships/hyperlink" Target="http://www.campus.utad.pt/bolsasinvestigacao/lista" TargetMode="External" /></Relationships>
</file>

<file path=word/_rels/fontTable.xml.rels>&#65279;<?xml version="1.0" encoding="utf-8" standalone="yes"?><Relationships xmlns="http://schemas.openxmlformats.org/package/2006/relationships" />
</file>

<file path=word/_rels/footer5.xml.rels>&#65279;<?xml version="1.0" encoding="utf-8" standalone="yes"?><Relationships xmlns="http://schemas.openxmlformats.org/package/2006/relationships"><Relationship Id="rId7" Type="http://schemas.openxmlformats.org/officeDocument/2006/relationships/image" Target="media/image7.jpeg" /><Relationship Id="rId9" Type="http://schemas.openxmlformats.org/officeDocument/2006/relationships/image" Target="media/image9.jpeg" /><Relationship Id="rId11" Type="http://schemas.openxmlformats.org/officeDocument/2006/relationships/image" Target="media/image11.jpeg" /><Relationship Id="rId13" Type="http://schemas.openxmlformats.org/officeDocument/2006/relationships/image" Target="media/image13.jpeg" /><Relationship Id="rId15" Type="http://schemas.openxmlformats.org/officeDocument/2006/relationships/image" Target="media/image15.jpeg" /></Relationships>
</file>

<file path=word/_rels/header4.xml.rels>&#65279;<?xml version="1.0" encoding="utf-8" standalone="yes"?><Relationships xmlns="http://schemas.openxmlformats.org/package/2006/relationships"><Relationship Id="rId17" Type="http://schemas.openxmlformats.org/officeDocument/2006/relationships/image" Target="media/image17.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xmlns:a="http://schemas.openxmlformats.org/drawingml/2006/main"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3</TotalTime>
  <Pages>3</Pages>
  <Words>751</Words>
  <Characters>4286</Characters>
  <CharactersWithSpaces>5027</CharactersWithSpaces>
  <Application>Microsoft Office Word</Application>
  <DocSecurity>0</DocSecurity>
  <Lines>35</Lines>
  <Paragraphs>10</Paragraphs>
  <Manager>Sara Alves Dias</Manager>
  <Company>Universidade de Trás-os-Montes e Alto Douro</Compan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Concurso para Atribuição de Bolsa para Investigação</dc:title>
  <dc:subject/>
  <dc:creator>Campus UTAD</dc:creator>
  <cp:keywords/>
  <cp:lastModifiedBy>João Carlos Tomé Dias</cp:lastModifiedBy>
  <cp:lastPrinted>2011-05-05T09:43:00Z</cp:lastPrinted>
  <cp:revision>4</cp:revision>
  <dcterms:created xsi:type="dcterms:W3CDTF">2023-07-07T12:33:00Z</dcterms:created>
  <dcterms:modified xsi:type="dcterms:W3CDTF">2024-06-12T16:30:00Z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xd_Signature" pid="2">
    <vt:lpstr/>
  </property>
  <property fmtid="{D5CDD505-2E9C-101B-9397-08002B2CF9AE}" name="TemplateUrl" pid="3">
    <vt:lpstr/>
  </property>
  <property fmtid="{D5CDD505-2E9C-101B-9397-08002B2CF9AE}" name="xd_ProgID" pid="4">
    <vt:lpstr/>
  </property>
  <property fmtid="{D5CDD505-2E9C-101B-9397-08002B2CF9AE}" name="Order" pid="5">
    <vt:lpstr>47000.0000000000</vt:lpstr>
  </property>
  <property fmtid="{D5CDD505-2E9C-101B-9397-08002B2CF9AE}" name="_SourceUrl" pid="6">
    <vt:lpstr/>
  </property>
  <property fmtid="{D5CDD505-2E9C-101B-9397-08002B2CF9AE}" name="_SharedFileIndex" pid="7">
    <vt:lpstr/>
  </property>
  <property fmtid="{D5CDD505-2E9C-101B-9397-08002B2CF9AE}" name="_dlc_DocId" pid="8">
    <vt:lpstr>3SKTU6TMYEHH-1598-470</vt:lpstr>
  </property>
  <property fmtid="{D5CDD505-2E9C-101B-9397-08002B2CF9AE}" name="_dlc_DocIdItemGuid" pid="9">
    <vt:lpstr>032b757c-23ba-4bef-8115-d3aea944411e</vt:lpstr>
  </property>
  <property fmtid="{D5CDD505-2E9C-101B-9397-08002B2CF9AE}" name="_dlc_DocIdUrl" pid="10">
    <vt:lpstr>http:_x002F__x002F_utadweb_x002F_vPT_x002F_Area2_x002F_autad_x002F_reitoria_x002F__layouts_x002F_DocIdRedir.aspx_x003F_ID_x003D_3SKTU6TMYEHH-1598-470_x002C_ 3SKTU6TMYEHH-1598-470</vt:lpstr>
  </property>
</Properties>
</file>